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E4" w:rsidRDefault="002F16E4" w:rsidP="002F16E4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E4611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4611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5C5858" w:rsidRPr="00E46117">
        <w:rPr>
          <w:rFonts w:ascii="Arial" w:eastAsia="Times New Roman" w:hAnsi="Arial" w:cs="Arial"/>
          <w:sz w:val="24"/>
          <w:szCs w:val="24"/>
          <w:lang w:eastAsia="ru-RU"/>
        </w:rPr>
        <w:t>Кибячинского</w:t>
      </w:r>
      <w:proofErr w:type="spellEnd"/>
      <w:r w:rsidRPr="00E4611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E46117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4611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E46117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46117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46117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46117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E4611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4611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5C5858" w:rsidRPr="00E46117">
        <w:rPr>
          <w:rFonts w:ascii="Arial" w:eastAsia="Times New Roman" w:hAnsi="Arial" w:cs="Arial"/>
          <w:sz w:val="24"/>
          <w:szCs w:val="24"/>
          <w:lang w:eastAsia="ru-RU"/>
        </w:rPr>
        <w:t>Кибячинского</w:t>
      </w:r>
      <w:proofErr w:type="spellEnd"/>
      <w:r w:rsidRPr="00E4611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E4611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4611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46117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4611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F16E4">
        <w:rPr>
          <w:rFonts w:ascii="Arial" w:eastAsia="Times New Roman" w:hAnsi="Arial" w:cs="Arial"/>
          <w:sz w:val="24"/>
          <w:szCs w:val="24"/>
          <w:lang w:eastAsia="ru-RU"/>
        </w:rPr>
        <w:t xml:space="preserve">__._______  </w:t>
      </w:r>
      <w:r w:rsidRPr="00E46117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E46117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2F16E4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E46117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E46117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E46117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5C5858" w:rsidRPr="00E46117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E4611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E4611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4611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6117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5C5858" w:rsidRPr="00E46117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E4611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C20857" w:rsidRPr="00E46117">
        <w:rPr>
          <w:rFonts w:ascii="Arial" w:eastAsia="Calibri" w:hAnsi="Arial" w:cs="Arial"/>
          <w:sz w:val="24"/>
          <w:szCs w:val="24"/>
        </w:rPr>
        <w:t>13</w:t>
      </w:r>
      <w:r w:rsidRPr="00E46117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5C5858" w:rsidRPr="00E46117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E4611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E46117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E46117">
        <w:rPr>
          <w:rFonts w:ascii="Arial" w:eastAsia="Calibri" w:hAnsi="Arial" w:cs="Arial"/>
          <w:sz w:val="24"/>
          <w:szCs w:val="24"/>
        </w:rPr>
        <w:t>:</w:t>
      </w:r>
    </w:p>
    <w:p w:rsidR="00121C2B" w:rsidRPr="00E4611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6117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5C5858" w:rsidRPr="00E46117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E4611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E4611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46117">
        <w:rPr>
          <w:rFonts w:ascii="Arial" w:eastAsia="Calibri" w:hAnsi="Arial" w:cs="Arial"/>
          <w:sz w:val="24"/>
          <w:szCs w:val="24"/>
        </w:rPr>
        <w:t xml:space="preserve">     </w:t>
      </w:r>
      <w:r w:rsidRPr="00E46117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E46117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E46117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E46117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E46117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E46117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E46117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5C5858" w:rsidRPr="00E46117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E46117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E4611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6117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E4611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6117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E4611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4611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4611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4611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5C5858" w:rsidRPr="00E46117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E46117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E4611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46117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E46117">
        <w:rPr>
          <w:rFonts w:ascii="Arial" w:eastAsia="Calibri" w:hAnsi="Arial" w:cs="Arial"/>
          <w:sz w:val="24"/>
          <w:szCs w:val="24"/>
        </w:rPr>
        <w:tab/>
      </w:r>
      <w:r w:rsidRPr="00E46117">
        <w:rPr>
          <w:rFonts w:ascii="Arial" w:eastAsia="Calibri" w:hAnsi="Arial" w:cs="Arial"/>
          <w:sz w:val="24"/>
          <w:szCs w:val="24"/>
        </w:rPr>
        <w:tab/>
      </w:r>
      <w:r w:rsidRPr="00E46117">
        <w:rPr>
          <w:rFonts w:ascii="Arial" w:eastAsia="Calibri" w:hAnsi="Arial" w:cs="Arial"/>
          <w:sz w:val="24"/>
          <w:szCs w:val="24"/>
        </w:rPr>
        <w:tab/>
      </w:r>
      <w:r w:rsidRPr="00E46117">
        <w:rPr>
          <w:rFonts w:ascii="Arial" w:eastAsia="Calibri" w:hAnsi="Arial" w:cs="Arial"/>
          <w:sz w:val="24"/>
          <w:szCs w:val="24"/>
        </w:rPr>
        <w:tab/>
      </w:r>
      <w:r w:rsidRPr="00E46117">
        <w:rPr>
          <w:rFonts w:ascii="Arial" w:eastAsia="Calibri" w:hAnsi="Arial" w:cs="Arial"/>
          <w:sz w:val="24"/>
          <w:szCs w:val="24"/>
        </w:rPr>
        <w:tab/>
      </w:r>
      <w:r w:rsidR="00A56D18" w:rsidRPr="00E46117">
        <w:rPr>
          <w:rFonts w:ascii="Arial" w:eastAsia="Calibri" w:hAnsi="Arial" w:cs="Arial"/>
          <w:sz w:val="24"/>
          <w:szCs w:val="24"/>
        </w:rPr>
        <w:tab/>
      </w:r>
      <w:r w:rsidR="005C5858" w:rsidRPr="00E46117">
        <w:rPr>
          <w:rFonts w:ascii="Arial" w:eastAsia="Calibri" w:hAnsi="Arial" w:cs="Arial"/>
          <w:sz w:val="24"/>
          <w:szCs w:val="24"/>
        </w:rPr>
        <w:t xml:space="preserve">Р.А. </w:t>
      </w:r>
      <w:proofErr w:type="spellStart"/>
      <w:r w:rsidR="005C5858" w:rsidRPr="00E46117">
        <w:rPr>
          <w:rFonts w:ascii="Arial" w:eastAsia="Calibri" w:hAnsi="Arial" w:cs="Arial"/>
          <w:sz w:val="24"/>
          <w:szCs w:val="24"/>
        </w:rPr>
        <w:t>Раимов</w:t>
      </w:r>
      <w:proofErr w:type="spellEnd"/>
      <w:r w:rsidRPr="00E46117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E46117" w:rsidRDefault="00D1213E">
      <w:pPr>
        <w:rPr>
          <w:rFonts w:ascii="Arial" w:hAnsi="Arial" w:cs="Arial"/>
          <w:sz w:val="24"/>
          <w:szCs w:val="24"/>
        </w:rPr>
      </w:pPr>
    </w:p>
    <w:p w:rsidR="003716B5" w:rsidRPr="00E46117" w:rsidRDefault="003716B5">
      <w:pPr>
        <w:rPr>
          <w:rFonts w:ascii="Arial" w:hAnsi="Arial" w:cs="Arial"/>
          <w:sz w:val="24"/>
          <w:szCs w:val="24"/>
        </w:rPr>
      </w:pPr>
    </w:p>
    <w:p w:rsidR="003716B5" w:rsidRPr="00E46117" w:rsidRDefault="003716B5">
      <w:pPr>
        <w:rPr>
          <w:rFonts w:ascii="Arial" w:hAnsi="Arial" w:cs="Arial"/>
          <w:sz w:val="24"/>
          <w:szCs w:val="24"/>
        </w:rPr>
      </w:pPr>
    </w:p>
    <w:p w:rsidR="003716B5" w:rsidRPr="00E46117" w:rsidRDefault="003716B5">
      <w:pPr>
        <w:rPr>
          <w:rFonts w:ascii="Arial" w:hAnsi="Arial" w:cs="Arial"/>
          <w:sz w:val="24"/>
          <w:szCs w:val="24"/>
        </w:rPr>
      </w:pPr>
    </w:p>
    <w:p w:rsidR="003716B5" w:rsidRPr="00E46117" w:rsidRDefault="003716B5">
      <w:pPr>
        <w:rPr>
          <w:rFonts w:ascii="Arial" w:hAnsi="Arial" w:cs="Arial"/>
          <w:sz w:val="24"/>
          <w:szCs w:val="24"/>
        </w:rPr>
      </w:pPr>
    </w:p>
    <w:p w:rsidR="003716B5" w:rsidRPr="00E46117" w:rsidRDefault="003716B5">
      <w:pPr>
        <w:rPr>
          <w:rFonts w:ascii="Arial" w:hAnsi="Arial" w:cs="Arial"/>
          <w:sz w:val="24"/>
          <w:szCs w:val="24"/>
        </w:rPr>
        <w:sectPr w:rsidR="003716B5" w:rsidRPr="00E46117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E46117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E46117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E46117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A56D18" w:rsidRPr="00E46117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поселения </w:t>
            </w:r>
          </w:p>
          <w:p w:rsidR="00A56D18" w:rsidRPr="00E46117" w:rsidRDefault="00A56D18" w:rsidP="00A56D18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2F16E4">
              <w:rPr>
                <w:rFonts w:ascii="Arial" w:eastAsia="Calibri" w:hAnsi="Arial" w:cs="Arial"/>
                <w:sz w:val="24"/>
                <w:szCs w:val="24"/>
              </w:rPr>
              <w:t xml:space="preserve">__.__________  </w:t>
            </w:r>
            <w:bookmarkStart w:id="0" w:name="_GoBack"/>
            <w:bookmarkEnd w:id="0"/>
            <w:r w:rsidRPr="00E46117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2F16E4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E46117" w:rsidRDefault="00A56D18" w:rsidP="00A56D18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56D18" w:rsidRPr="00E46117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E4611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5C5858"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A56D18" w:rsidRPr="00E4611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E4611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E46117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E46117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46117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E46117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A56D18" w:rsidRPr="00E46117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46117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E4611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E4611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611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5C5858" w:rsidRPr="00E46117" w:rsidTr="00754848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5C5858" w:rsidRPr="00E46117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3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78</w:t>
            </w:r>
          </w:p>
        </w:tc>
        <w:tc>
          <w:tcPr>
            <w:tcW w:w="1114" w:type="dxa"/>
            <w:noWrap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5C5858" w:rsidRPr="00E46117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5C5858" w:rsidRPr="00E46117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3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78</w:t>
            </w:r>
          </w:p>
        </w:tc>
        <w:tc>
          <w:tcPr>
            <w:tcW w:w="1114" w:type="dxa"/>
            <w:noWrap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5C5858" w:rsidRPr="00E46117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5C5858" w:rsidRPr="00E46117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16.10.2017 № 78</w:t>
            </w:r>
          </w:p>
        </w:tc>
        <w:tc>
          <w:tcPr>
            <w:tcW w:w="1114" w:type="dxa"/>
            <w:noWrap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земельные участки, занятые гражданскими захоронениями,  скотомогильниками, водонапорными башнями, 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скважинами</w:t>
            </w:r>
          </w:p>
        </w:tc>
        <w:tc>
          <w:tcPr>
            <w:tcW w:w="1842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организации и учреждения в отношении земельных участков, занятых гражданскими захоронениями,  скотомогильн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иками, водонапорными башнями, скважинами</w:t>
            </w:r>
          </w:p>
        </w:tc>
        <w:tc>
          <w:tcPr>
            <w:tcW w:w="116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организации и учреждений в отношении земельных участков, занятых гражданскими 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5C5858" w:rsidRPr="00E46117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5C5858" w:rsidRPr="00E46117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78</w:t>
            </w:r>
          </w:p>
        </w:tc>
        <w:tc>
          <w:tcPr>
            <w:tcW w:w="1114" w:type="dxa"/>
            <w:noWrap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5C5858" w:rsidRPr="00E46117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5C5858" w:rsidRPr="00E46117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78</w:t>
            </w:r>
          </w:p>
        </w:tc>
        <w:tc>
          <w:tcPr>
            <w:tcW w:w="1114" w:type="dxa"/>
            <w:noWrap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5C5858" w:rsidRPr="00E46117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5C5858" w:rsidRPr="00E46117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3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сельского поселения "О 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16.10.2017 № 78</w:t>
            </w:r>
          </w:p>
        </w:tc>
        <w:tc>
          <w:tcPr>
            <w:tcW w:w="1114" w:type="dxa"/>
            <w:noWrap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земельные участки, предоставляемых под строительство и эксплуатацию автомобильных 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организации в отношении земельных участков, предоставляемых под строительств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  размере 0,05 % в отношении земельных участков, 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5C5858" w:rsidRPr="00E46117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5C5858" w:rsidRPr="00E46117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137</w:t>
            </w:r>
          </w:p>
        </w:tc>
        <w:tc>
          <w:tcPr>
            <w:tcW w:w="111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</w:t>
            </w: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5C5858" w:rsidRPr="00E46117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5C5858" w:rsidRPr="00E46117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E46117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E46117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137</w:t>
            </w:r>
          </w:p>
        </w:tc>
        <w:tc>
          <w:tcPr>
            <w:tcW w:w="111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5C5858" w:rsidRPr="00E46117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1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E46117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E46117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E46117" w:rsidSect="00C035B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B2640"/>
    <w:rsid w:val="002F16E4"/>
    <w:rsid w:val="003716B5"/>
    <w:rsid w:val="005C5858"/>
    <w:rsid w:val="00797565"/>
    <w:rsid w:val="007D12BB"/>
    <w:rsid w:val="0091019F"/>
    <w:rsid w:val="00A56D18"/>
    <w:rsid w:val="00BF66B4"/>
    <w:rsid w:val="00C035B5"/>
    <w:rsid w:val="00C20857"/>
    <w:rsid w:val="00D1213E"/>
    <w:rsid w:val="00E46117"/>
    <w:rsid w:val="00E848B5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5EE2-B171-4810-8A4F-B804E787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2023-07-03T05:57:00Z</cp:lastPrinted>
  <dcterms:created xsi:type="dcterms:W3CDTF">2023-07-05T07:46:00Z</dcterms:created>
  <dcterms:modified xsi:type="dcterms:W3CDTF">2023-07-05T13:15:00Z</dcterms:modified>
</cp:coreProperties>
</file>