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ПРАВОВОЕ ПРОСВЕЩЕНИЕ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Установлены сроки освоения земель, расположенных в</w:t>
        <w:br/>
        <w:t>границах населенных пунктов, а также предоставленных</w:t>
        <w:br/>
        <w:t>для ведения садоводства и огородничества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1 марта 2025 года вступит в силу Федеральный закон от 08.08.2024 № 307-ФЗ, которым определяется срок освоения земельного участка из состава земель населенных пунктов, а также садовых и огородных земельных участков.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 освоением земельного участка понимается выполнение его правообладателем мероприятий по приведению земель в состояние, пригодное для использования в соответствии с целевым назначением и разрешенным использованием. Перечень таких мероприятий устанавливается Правительством Российской Федерации.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освоения земельного участка из состава земель населенных пунктов, а также садовых и огородных земельных участков составляет три года.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Правообладатель земельного участка должен приступить к его использованию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земельного участка, не позднее трех лет с указанной даты.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за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установлена ч. 3 ст. 8.8. Кодекса РФ об административных правонарушениях. Размер штрафа зависит от кадастровой стоимости земельного участка (если кадастровая стоимость определена). В случае, если кадастровая стоимость земельного участка не установлена, то штраф для граждан - от 20 до 50 тыс. руб., для должностных лиц - от 50 до 100 тыс. руб., для юридических лиц - от 400 до 700 тыс. руб.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Кроме того, в соответствии со ст. 284 Гражданского кодекса РФ в случаях, когда земельный участок предназначен для жилищного или иного строительства, садоводства, огородничества и не используется по целевому назначению в течение трех лет, если более длительный срок не установлен законом, он может быть изъят у собственника по судебному решению.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Татарская природоохранная межрайонная прокуратура</w:t>
      </w:r>
    </w:p>
    <w:sectPr>
      <w:footnotePr>
        <w:pos w:val="pageBottom"/>
        <w:numFmt w:val="decimal"/>
        <w:numRestart w:val="continuous"/>
      </w:footnotePr>
      <w:pgSz w:w="11900" w:h="16840"/>
      <w:pgMar w:top="1119" w:left="1538" w:right="518" w:bottom="1119" w:header="691" w:footer="69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FFFFFF"/>
      <w:spacing w:after="340" w:line="295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Халмуратова Роза Михайловна</dc:creator>
  <cp:keywords/>
</cp:coreProperties>
</file>