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0E1FEA">
        <w:rPr>
          <w:rFonts w:eastAsia="Calibri"/>
          <w:bCs/>
          <w:sz w:val="28"/>
          <w:szCs w:val="28"/>
        </w:rPr>
        <w:t>Ковалинского</w:t>
      </w:r>
      <w:r w:rsidR="007D1602">
        <w:rPr>
          <w:rFonts w:eastAsia="Calibri"/>
          <w:bCs/>
          <w:sz w:val="28"/>
          <w:szCs w:val="28"/>
        </w:rPr>
        <w:t xml:space="preserve"> </w:t>
      </w:r>
      <w:r w:rsidR="007D4267" w:rsidRPr="00C47FFB">
        <w:rPr>
          <w:rFonts w:eastAsia="Calibri"/>
          <w:bCs/>
          <w:sz w:val="28"/>
          <w:szCs w:val="28"/>
        </w:rPr>
        <w:t>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DC00DC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>РЕШЕНИЕ</w:t>
      </w:r>
    </w:p>
    <w:p w:rsidR="007D4267" w:rsidRPr="00C47FFB" w:rsidRDefault="00DC00DC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proofErr w:type="spellStart"/>
      <w:r>
        <w:rPr>
          <w:rFonts w:eastAsia="Calibri"/>
          <w:sz w:val="28"/>
          <w:szCs w:val="28"/>
        </w:rPr>
        <w:t>Ковалинского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="007D4267" w:rsidRPr="00C47FFB">
        <w:rPr>
          <w:rFonts w:eastAsia="Calibri"/>
          <w:sz w:val="28"/>
          <w:szCs w:val="28"/>
        </w:rPr>
        <w:t xml:space="preserve"> 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143008" w:rsidRDefault="009D0A8D" w:rsidP="009D0A8D">
      <w:pPr>
        <w:shd w:val="clear" w:color="auto" w:fill="FFFFFF"/>
        <w:rPr>
          <w:sz w:val="28"/>
          <w:szCs w:val="28"/>
        </w:rPr>
      </w:pPr>
      <w:r w:rsidRPr="00143008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b/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0E1FEA">
        <w:rPr>
          <w:rFonts w:eastAsia="Calibri"/>
          <w:bCs/>
          <w:sz w:val="28"/>
          <w:szCs w:val="28"/>
        </w:rPr>
        <w:t>Ковалинского</w:t>
      </w:r>
      <w:proofErr w:type="spellEnd"/>
      <w:r w:rsidR="000E1FEA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8C652C" w:rsidRPr="008C652C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143008">
        <w:rPr>
          <w:b/>
          <w:color w:val="000000"/>
          <w:spacing w:val="9"/>
          <w:sz w:val="28"/>
          <w:szCs w:val="28"/>
        </w:rPr>
        <w:t>решил</w:t>
      </w:r>
      <w:r w:rsidR="0064663C" w:rsidRPr="00143008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143008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0E1FEA">
        <w:rPr>
          <w:rFonts w:eastAsia="Calibri"/>
          <w:bCs/>
          <w:sz w:val="28"/>
          <w:szCs w:val="28"/>
        </w:rPr>
        <w:t>Ковалинского</w:t>
      </w:r>
      <w:r w:rsidR="000E1FEA" w:rsidRPr="00435C67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сельского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EB4992" w:rsidP="00EB49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0A8D"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1B7362" w:rsidP="009D0A8D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143008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EB4992" w:rsidRDefault="00DA326B" w:rsidP="00EB4992">
      <w:pPr>
        <w:shd w:val="clear" w:color="auto" w:fill="FFFFFF"/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EB4992">
        <w:rPr>
          <w:color w:val="000000"/>
          <w:spacing w:val="-7"/>
          <w:sz w:val="28"/>
          <w:szCs w:val="28"/>
        </w:rPr>
        <w:t xml:space="preserve">        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-7"/>
          <w:sz w:val="28"/>
          <w:szCs w:val="28"/>
        </w:rPr>
        <w:t xml:space="preserve">2) 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="009D0A8D" w:rsidRPr="00435C67">
        <w:rPr>
          <w:bCs/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EB4992" w:rsidP="00DA326B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</w:t>
      </w:r>
      <w:r w:rsidR="001B7362">
        <w:rPr>
          <w:color w:val="000000"/>
          <w:spacing w:val="-4"/>
          <w:sz w:val="28"/>
          <w:szCs w:val="28"/>
        </w:rPr>
        <w:t xml:space="preserve">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%</w:t>
      </w:r>
      <w:r w:rsidR="00DA326B">
        <w:rPr>
          <w:b/>
          <w:color w:val="000000"/>
          <w:spacing w:val="-4"/>
          <w:sz w:val="28"/>
          <w:szCs w:val="28"/>
        </w:rPr>
        <w:t xml:space="preserve"> </w:t>
      </w:r>
      <w:r w:rsidR="00DA326B" w:rsidRPr="00810F66">
        <w:rPr>
          <w:color w:val="000000"/>
          <w:spacing w:val="-4"/>
          <w:sz w:val="28"/>
          <w:szCs w:val="28"/>
        </w:rPr>
        <w:t xml:space="preserve">от налоговой базы в отношении </w:t>
      </w:r>
      <w:proofErr w:type="gramStart"/>
      <w:r w:rsidR="00DA326B" w:rsidRPr="00810F66">
        <w:rPr>
          <w:color w:val="000000"/>
          <w:spacing w:val="-4"/>
          <w:sz w:val="28"/>
          <w:szCs w:val="28"/>
        </w:rPr>
        <w:t>земельных</w:t>
      </w:r>
      <w:r w:rsidR="00143008">
        <w:rPr>
          <w:color w:val="000000"/>
          <w:spacing w:val="-4"/>
          <w:sz w:val="28"/>
          <w:szCs w:val="28"/>
        </w:rPr>
        <w:t xml:space="preserve"> </w:t>
      </w:r>
      <w:r w:rsidR="00DA326B" w:rsidRPr="00810F66">
        <w:rPr>
          <w:color w:val="000000"/>
          <w:spacing w:val="-4"/>
          <w:sz w:val="28"/>
          <w:szCs w:val="28"/>
        </w:rPr>
        <w:t>участков</w:t>
      </w:r>
      <w:proofErr w:type="gramEnd"/>
      <w:r w:rsidR="00DA326B"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224ED5" w:rsidRDefault="00EB4992" w:rsidP="00EB49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</w:t>
      </w:r>
      <w:r w:rsidR="001D2ADD">
        <w:rPr>
          <w:color w:val="000000"/>
          <w:spacing w:val="-7"/>
          <w:sz w:val="28"/>
          <w:szCs w:val="28"/>
        </w:rPr>
        <w:t xml:space="preserve">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8C652C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8C652C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законодательные акты Р</w:t>
      </w:r>
      <w:r w:rsidR="008C652C">
        <w:rPr>
          <w:sz w:val="28"/>
          <w:szCs w:val="28"/>
        </w:rPr>
        <w:t>оссийской Федерации»</w:t>
      </w:r>
      <w:bookmarkStart w:id="0" w:name="_GoBack"/>
      <w:bookmarkEnd w:id="0"/>
      <w:r w:rsidR="00224ED5">
        <w:rPr>
          <w:sz w:val="28"/>
          <w:szCs w:val="28"/>
        </w:rPr>
        <w:t>;</w:t>
      </w:r>
    </w:p>
    <w:p w:rsidR="009D0A8D" w:rsidRPr="00435C67" w:rsidRDefault="00EB4992" w:rsidP="009341E2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2ADD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236844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2ADD">
        <w:rPr>
          <w:sz w:val="28"/>
          <w:szCs w:val="28"/>
        </w:rPr>
        <w:t xml:space="preserve"> </w:t>
      </w:r>
      <w:r w:rsidR="00A35B59">
        <w:rPr>
          <w:sz w:val="28"/>
          <w:szCs w:val="28"/>
        </w:rPr>
        <w:t>3. Установить налоговые льготы по земельному налогу</w:t>
      </w:r>
      <w:r w:rsidR="00A35B59"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proofErr w:type="gramStart"/>
      <w:r>
        <w:rPr>
          <w:sz w:val="28"/>
          <w:szCs w:val="28"/>
        </w:rPr>
        <w:t>Татарстан  и</w:t>
      </w:r>
      <w:proofErr w:type="gramEnd"/>
      <w:r>
        <w:rPr>
          <w:sz w:val="28"/>
          <w:szCs w:val="28"/>
        </w:rPr>
        <w:t xml:space="preserve">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920D1" w:rsidRPr="00E920D1" w:rsidRDefault="00E207CD" w:rsidP="00E920D1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143008">
        <w:rPr>
          <w:sz w:val="28"/>
          <w:szCs w:val="28"/>
        </w:rPr>
        <w:t>ьзуется неограниченный круг лиц.</w:t>
      </w:r>
    </w:p>
    <w:p w:rsidR="009D0A8D" w:rsidRPr="00EB4992" w:rsidRDefault="00EF2276" w:rsidP="009D0A8D">
      <w:pPr>
        <w:shd w:val="clear" w:color="auto" w:fill="FFFFFF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  </w:t>
      </w:r>
      <w:r w:rsidR="00EB4992">
        <w:rPr>
          <w:bCs/>
          <w:color w:val="000000"/>
          <w:spacing w:val="-6"/>
          <w:sz w:val="28"/>
          <w:szCs w:val="28"/>
        </w:rPr>
        <w:t xml:space="preserve">  </w:t>
      </w: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B4992" w:rsidP="00EB4992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</w:t>
      </w:r>
      <w:r w:rsidR="001D2ADD">
        <w:rPr>
          <w:bCs/>
          <w:color w:val="000000"/>
          <w:spacing w:val="-6"/>
          <w:sz w:val="28"/>
          <w:szCs w:val="28"/>
        </w:rPr>
        <w:t xml:space="preserve">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DC00DC">
        <w:rPr>
          <w:bCs/>
          <w:color w:val="000000"/>
          <w:spacing w:val="-6"/>
          <w:sz w:val="28"/>
          <w:szCs w:val="28"/>
        </w:rPr>
        <w:t>. Установить следующий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порядок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912809">
      <w:pPr>
        <w:pStyle w:val="3"/>
        <w:spacing w:line="240" w:lineRule="auto"/>
        <w:ind w:firstLine="0"/>
        <w:rPr>
          <w:color w:val="000000"/>
          <w:spacing w:val="-4"/>
        </w:rPr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Pr="00DC00DC" w:rsidRDefault="00EB4992" w:rsidP="007D1602">
      <w:pPr>
        <w:shd w:val="clear" w:color="auto" w:fill="FFFFFF"/>
        <w:spacing w:line="317" w:lineRule="exact"/>
        <w:ind w:right="19"/>
        <w:jc w:val="both"/>
        <w:rPr>
          <w:bCs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DC00DC">
        <w:rPr>
          <w:bCs/>
          <w:color w:val="000000"/>
          <w:spacing w:val="4"/>
          <w:sz w:val="28"/>
          <w:szCs w:val="28"/>
        </w:rPr>
        <w:t xml:space="preserve">. Признать </w:t>
      </w:r>
      <w:r w:rsidR="00143008">
        <w:rPr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proofErr w:type="spellStart"/>
      <w:r w:rsidR="000E1FEA">
        <w:rPr>
          <w:rFonts w:eastAsia="Calibri"/>
          <w:bCs/>
          <w:sz w:val="28"/>
          <w:szCs w:val="28"/>
        </w:rPr>
        <w:t>Ковалинского</w:t>
      </w:r>
      <w:proofErr w:type="spellEnd"/>
      <w:r w:rsidR="000E1FEA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>сельского поселения от</w:t>
      </w:r>
      <w:r w:rsidR="00143008">
        <w:rPr>
          <w:sz w:val="28"/>
          <w:szCs w:val="28"/>
        </w:rPr>
        <w:t xml:space="preserve"> </w:t>
      </w:r>
      <w:r w:rsidR="00AD030D">
        <w:rPr>
          <w:sz w:val="28"/>
          <w:szCs w:val="28"/>
        </w:rPr>
        <w:t>09</w:t>
      </w:r>
      <w:r w:rsidR="009424F7" w:rsidRPr="00A51535">
        <w:rPr>
          <w:sz w:val="28"/>
          <w:szCs w:val="28"/>
        </w:rPr>
        <w:t>.1</w:t>
      </w:r>
      <w:r w:rsidR="008F58E8" w:rsidRPr="00A51535">
        <w:rPr>
          <w:sz w:val="28"/>
          <w:szCs w:val="28"/>
        </w:rPr>
        <w:t>0</w:t>
      </w:r>
      <w:r w:rsidR="009424F7" w:rsidRPr="00A51535">
        <w:rPr>
          <w:sz w:val="28"/>
          <w:szCs w:val="28"/>
        </w:rPr>
        <w:t>.201</w:t>
      </w:r>
      <w:r w:rsidR="00912809">
        <w:rPr>
          <w:sz w:val="28"/>
          <w:szCs w:val="28"/>
        </w:rPr>
        <w:t>7</w:t>
      </w:r>
      <w:r w:rsidR="00C648E9" w:rsidRPr="00A51535">
        <w:rPr>
          <w:sz w:val="28"/>
          <w:szCs w:val="28"/>
        </w:rPr>
        <w:t xml:space="preserve"> года № </w:t>
      </w:r>
      <w:r w:rsidR="000E1FEA">
        <w:rPr>
          <w:sz w:val="28"/>
          <w:szCs w:val="28"/>
        </w:rPr>
        <w:t>68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0E1FEA">
        <w:rPr>
          <w:sz w:val="28"/>
          <w:szCs w:val="28"/>
        </w:rPr>
        <w:t>38</w:t>
      </w:r>
      <w:r w:rsidR="00224ED5">
        <w:rPr>
          <w:sz w:val="28"/>
          <w:szCs w:val="28"/>
        </w:rPr>
        <w:t>, 22.10.2021 № 2</w:t>
      </w:r>
      <w:r w:rsidR="009F3F2E">
        <w:rPr>
          <w:sz w:val="28"/>
          <w:szCs w:val="28"/>
        </w:rPr>
        <w:t>7</w:t>
      </w:r>
      <w:r w:rsidR="00224ED5">
        <w:rPr>
          <w:sz w:val="28"/>
          <w:szCs w:val="28"/>
        </w:rPr>
        <w:t>)</w:t>
      </w:r>
      <w:r w:rsidR="00FD49E4">
        <w:rPr>
          <w:sz w:val="28"/>
          <w:szCs w:val="28"/>
        </w:rPr>
        <w:t xml:space="preserve"> утратившим силу.</w:t>
      </w:r>
    </w:p>
    <w:p w:rsidR="009D0A8D" w:rsidRPr="00435C67" w:rsidRDefault="00EB4992" w:rsidP="00EB49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bCs/>
          <w:color w:val="000000"/>
          <w:spacing w:val="4"/>
          <w:sz w:val="28"/>
          <w:szCs w:val="28"/>
        </w:rPr>
        <w:t xml:space="preserve">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AE18A7" w:rsidRPr="00435C67" w:rsidRDefault="00EF2276" w:rsidP="00EA6E90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proofErr w:type="spellStart"/>
      <w:r w:rsidR="000E1FEA">
        <w:rPr>
          <w:rFonts w:eastAsia="Calibri"/>
          <w:bCs/>
          <w:sz w:val="28"/>
          <w:szCs w:val="28"/>
        </w:rPr>
        <w:t>Ковалинского</w:t>
      </w:r>
      <w:proofErr w:type="spellEnd"/>
      <w:r w:rsidR="000E1FEA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9D0A8D" w:rsidRPr="00EB4992" w:rsidRDefault="007D4267" w:rsidP="00EB4992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="00DC00DC">
        <w:rPr>
          <w:rFonts w:eastAsia="Calibri"/>
          <w:sz w:val="28"/>
          <w:szCs w:val="22"/>
        </w:rPr>
        <w:t xml:space="preserve">                                 </w:t>
      </w:r>
      <w:r w:rsidRPr="00C47FFB">
        <w:rPr>
          <w:rFonts w:eastAsia="Calibri"/>
          <w:sz w:val="28"/>
          <w:szCs w:val="22"/>
        </w:rPr>
        <w:tab/>
      </w:r>
      <w:r w:rsidR="00EB4992">
        <w:rPr>
          <w:rFonts w:eastAsia="Calibri"/>
          <w:sz w:val="28"/>
          <w:szCs w:val="22"/>
        </w:rPr>
        <w:t>М.Х.</w:t>
      </w:r>
      <w:r w:rsidR="00143008">
        <w:rPr>
          <w:rFonts w:eastAsia="Calibri"/>
          <w:sz w:val="28"/>
          <w:szCs w:val="22"/>
        </w:rPr>
        <w:t xml:space="preserve"> </w:t>
      </w:r>
      <w:proofErr w:type="spellStart"/>
      <w:r w:rsidR="00EB4992">
        <w:rPr>
          <w:rFonts w:eastAsia="Calibri"/>
          <w:sz w:val="28"/>
          <w:szCs w:val="22"/>
        </w:rPr>
        <w:t>Камалиев</w:t>
      </w:r>
      <w:proofErr w:type="spellEnd"/>
    </w:p>
    <w:sectPr w:rsidR="009D0A8D" w:rsidRPr="00EB4992" w:rsidSect="00EB49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D4EB9"/>
    <w:rsid w:val="000E1FEA"/>
    <w:rsid w:val="000E260B"/>
    <w:rsid w:val="00122583"/>
    <w:rsid w:val="00143008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36844"/>
    <w:rsid w:val="002547E4"/>
    <w:rsid w:val="00293D9B"/>
    <w:rsid w:val="002A76CB"/>
    <w:rsid w:val="0031262D"/>
    <w:rsid w:val="00333A5E"/>
    <w:rsid w:val="00367D11"/>
    <w:rsid w:val="003855D5"/>
    <w:rsid w:val="00390894"/>
    <w:rsid w:val="003F004F"/>
    <w:rsid w:val="0040251B"/>
    <w:rsid w:val="00435C67"/>
    <w:rsid w:val="00447087"/>
    <w:rsid w:val="004575D8"/>
    <w:rsid w:val="004C34F2"/>
    <w:rsid w:val="004D54EC"/>
    <w:rsid w:val="004D7B71"/>
    <w:rsid w:val="00554B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63A75"/>
    <w:rsid w:val="00780A82"/>
    <w:rsid w:val="007D1602"/>
    <w:rsid w:val="007D3290"/>
    <w:rsid w:val="007D4267"/>
    <w:rsid w:val="00855444"/>
    <w:rsid w:val="00857AB2"/>
    <w:rsid w:val="00872958"/>
    <w:rsid w:val="008B1041"/>
    <w:rsid w:val="008C652C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9F3F2E"/>
    <w:rsid w:val="00A00654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24A6D"/>
    <w:rsid w:val="00D358B5"/>
    <w:rsid w:val="00D81819"/>
    <w:rsid w:val="00D92A13"/>
    <w:rsid w:val="00DA326B"/>
    <w:rsid w:val="00DC00DC"/>
    <w:rsid w:val="00E207CD"/>
    <w:rsid w:val="00E45344"/>
    <w:rsid w:val="00E920D1"/>
    <w:rsid w:val="00EA679B"/>
    <w:rsid w:val="00EA6E90"/>
    <w:rsid w:val="00EB4992"/>
    <w:rsid w:val="00ED01E8"/>
    <w:rsid w:val="00ED279C"/>
    <w:rsid w:val="00EF2276"/>
    <w:rsid w:val="00F91AD8"/>
    <w:rsid w:val="00FB676D"/>
    <w:rsid w:val="00FD49E4"/>
    <w:rsid w:val="00FE5C38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F29E3"/>
  <w15:chartTrackingRefBased/>
  <w15:docId w15:val="{16F011BD-DEEA-45A8-A06B-EAE8F8FE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6438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2023-08-17T12:21:00Z</cp:lastPrinted>
  <dcterms:created xsi:type="dcterms:W3CDTF">2023-08-25T07:56:00Z</dcterms:created>
  <dcterms:modified xsi:type="dcterms:W3CDTF">2023-08-29T11:02:00Z</dcterms:modified>
</cp:coreProperties>
</file>