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proofErr w:type="spellStart"/>
      <w:r w:rsidR="0015488F">
        <w:rPr>
          <w:sz w:val="28"/>
          <w:szCs w:val="28"/>
        </w:rPr>
        <w:t>Кощаковского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15488F">
        <w:rPr>
          <w:sz w:val="28"/>
          <w:szCs w:val="28"/>
        </w:rPr>
        <w:t>Кощаковского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5A3B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  <w:r w:rsidR="0008082E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025A3B">
        <w:rPr>
          <w:sz w:val="28"/>
          <w:szCs w:val="28"/>
        </w:rPr>
        <w:t>104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</w:t>
      </w:r>
      <w:r w:rsidR="00025A3B">
        <w:rPr>
          <w:sz w:val="28"/>
          <w:szCs w:val="28"/>
        </w:rPr>
        <w:t>З.Н. Саттарова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proofErr w:type="spellStart"/>
      <w:r w:rsidR="00025A3B">
        <w:t>Кощаковского</w:t>
      </w:r>
      <w:proofErr w:type="spellEnd"/>
      <w:r w:rsidR="00025A3B">
        <w:t xml:space="preserve"> </w:t>
      </w:r>
      <w:r w:rsidR="00060036">
        <w:t xml:space="preserve">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025A3B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025A3B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</w:t>
      </w:r>
      <w:r w:rsidR="00156CDC">
        <w:rPr>
          <w:sz w:val="28"/>
          <w:szCs w:val="28"/>
        </w:rPr>
        <w:t xml:space="preserve">наименование -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156CDC" w:rsidRPr="00B1472D" w:rsidRDefault="00156CDC" w:rsidP="00156CDC">
      <w:pPr>
        <w:ind w:firstLine="709"/>
        <w:jc w:val="both"/>
        <w:rPr>
          <w:sz w:val="28"/>
          <w:szCs w:val="28"/>
        </w:rPr>
      </w:pPr>
      <w:r w:rsidRPr="00B1472D">
        <w:rPr>
          <w:sz w:val="28"/>
          <w:szCs w:val="28"/>
        </w:rPr>
        <w:lastRenderedPageBreak/>
        <w:t xml:space="preserve">- юридический адрес: 422772, Российская Федерация, Республика Татарстан, Пестречинский район, село </w:t>
      </w:r>
      <w:proofErr w:type="spellStart"/>
      <w:r w:rsidRPr="00B1472D">
        <w:rPr>
          <w:sz w:val="28"/>
          <w:szCs w:val="28"/>
        </w:rPr>
        <w:t>Кощаково</w:t>
      </w:r>
      <w:proofErr w:type="spellEnd"/>
      <w:r w:rsidRPr="00B1472D">
        <w:rPr>
          <w:sz w:val="28"/>
          <w:szCs w:val="28"/>
        </w:rPr>
        <w:t>, улица Комсомольская, дом 13;</w:t>
      </w:r>
    </w:p>
    <w:p w:rsidR="00D91D2A" w:rsidRPr="00D91D2A" w:rsidRDefault="00156CDC" w:rsidP="00156CD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B1472D">
        <w:rPr>
          <w:sz w:val="28"/>
          <w:szCs w:val="28"/>
        </w:rPr>
        <w:t xml:space="preserve">- почтовый адрес: 422772, Российская Федерация, Республика Татарстан, Пестречинский район, село </w:t>
      </w:r>
      <w:proofErr w:type="spellStart"/>
      <w:r w:rsidRPr="00B1472D">
        <w:rPr>
          <w:sz w:val="28"/>
          <w:szCs w:val="28"/>
        </w:rPr>
        <w:t>Кощаково</w:t>
      </w:r>
      <w:proofErr w:type="spellEnd"/>
      <w:r w:rsidRPr="00B1472D">
        <w:rPr>
          <w:sz w:val="28"/>
          <w:szCs w:val="28"/>
        </w:rPr>
        <w:t>, улица Комсомольская, дом 13.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756B7D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Кощаковского</w:t>
      </w:r>
      <w:bookmarkStart w:id="0" w:name="_GoBack"/>
      <w:bookmarkEnd w:id="0"/>
      <w:r w:rsidRPr="00EC74CF">
        <w:rPr>
          <w:sz w:val="28"/>
          <w:szCs w:val="28"/>
        </w:rPr>
        <w:t xml:space="preserve"> сельского поселения на заместителя руководителя Исполкома или иное должностное лицо Исполкома Поселения.</w:t>
      </w:r>
    </w:p>
    <w:p w:rsidR="00756B7D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756B7D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756B7D" w:rsidRPr="000F51C9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756B7D" w:rsidRPr="000F51C9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756B7D" w:rsidRPr="000F51C9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756B7D" w:rsidRPr="000F51C9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756B7D" w:rsidRPr="000F51C9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756B7D" w:rsidRPr="000F51C9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756B7D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756B7D" w:rsidRPr="00A1443C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756B7D" w:rsidRPr="00A1443C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756B7D" w:rsidRDefault="00756B7D" w:rsidP="00756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56CDC" w:rsidRPr="00B1472D" w:rsidRDefault="00156CDC" w:rsidP="00156CDC">
      <w:pPr>
        <w:pStyle w:val="a7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>Исполнительный комитет: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          1) в области планирования, бюджета, финансов и учета:</w:t>
      </w:r>
    </w:p>
    <w:p w:rsidR="00156CDC" w:rsidRPr="00B1472D" w:rsidRDefault="00156CDC" w:rsidP="00156CDC">
      <w:pPr>
        <w:ind w:firstLine="709"/>
        <w:jc w:val="both"/>
        <w:rPr>
          <w:sz w:val="28"/>
          <w:szCs w:val="28"/>
        </w:rPr>
      </w:pPr>
      <w:r w:rsidRPr="00B1472D">
        <w:rPr>
          <w:sz w:val="28"/>
          <w:szCs w:val="28"/>
        </w:rPr>
        <w:t xml:space="preserve">- разрабатывает проект бюджета Поселения; </w:t>
      </w:r>
    </w:p>
    <w:p w:rsidR="00156CDC" w:rsidRPr="00B1472D" w:rsidRDefault="00156CDC" w:rsidP="00156CDC">
      <w:pPr>
        <w:ind w:firstLine="709"/>
        <w:jc w:val="both"/>
        <w:rPr>
          <w:sz w:val="28"/>
          <w:szCs w:val="28"/>
        </w:rPr>
      </w:pPr>
      <w:r w:rsidRPr="00B1472D">
        <w:rPr>
          <w:sz w:val="28"/>
          <w:szCs w:val="28"/>
        </w:rPr>
        <w:t xml:space="preserve">- обеспечивает исполнение бюджета Поселения; </w:t>
      </w:r>
    </w:p>
    <w:p w:rsidR="00156CDC" w:rsidRPr="00B1472D" w:rsidRDefault="00156CDC" w:rsidP="00156CDC">
      <w:pPr>
        <w:ind w:firstLine="709"/>
        <w:jc w:val="both"/>
        <w:rPr>
          <w:sz w:val="28"/>
          <w:szCs w:val="28"/>
        </w:rPr>
      </w:pPr>
      <w:r w:rsidRPr="00B1472D">
        <w:rPr>
          <w:sz w:val="28"/>
          <w:szCs w:val="28"/>
        </w:rPr>
        <w:t xml:space="preserve">- готовит отчет об исполнении бюджета Поселения; </w:t>
      </w:r>
    </w:p>
    <w:p w:rsidR="00156CDC" w:rsidRPr="00B1472D" w:rsidRDefault="00156CDC" w:rsidP="00156CDC">
      <w:pPr>
        <w:ind w:firstLine="709"/>
        <w:jc w:val="both"/>
        <w:rPr>
          <w:sz w:val="28"/>
          <w:szCs w:val="28"/>
        </w:rPr>
      </w:pPr>
      <w:r w:rsidRPr="00B1472D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156CDC" w:rsidRPr="00B1472D" w:rsidRDefault="00156CDC" w:rsidP="00156CDC">
      <w:pPr>
        <w:ind w:firstLine="708"/>
        <w:jc w:val="both"/>
        <w:rPr>
          <w:rFonts w:eastAsia="Calibri"/>
          <w:sz w:val="28"/>
          <w:szCs w:val="28"/>
          <w:u w:val="single"/>
        </w:rPr>
      </w:pPr>
      <w:r w:rsidRPr="00B1472D">
        <w:rPr>
          <w:bCs/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>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156CDC" w:rsidRPr="00B1472D" w:rsidRDefault="00156CDC" w:rsidP="00156CDC">
      <w:pPr>
        <w:widowControl w:val="0"/>
        <w:tabs>
          <w:tab w:val="left" w:pos="0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lastRenderedPageBreak/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156CDC" w:rsidRPr="00B1472D" w:rsidRDefault="00156CDC" w:rsidP="00156CDC">
      <w:pPr>
        <w:ind w:firstLine="720"/>
        <w:jc w:val="both"/>
        <w:rPr>
          <w:sz w:val="20"/>
          <w:szCs w:val="20"/>
          <w:u w:val="single"/>
        </w:rPr>
      </w:pPr>
      <w:r w:rsidRPr="00B1472D">
        <w:rPr>
          <w:rFonts w:eastAsia="Calibri"/>
          <w:sz w:val="28"/>
          <w:szCs w:val="28"/>
          <w:lang w:eastAsia="en-US"/>
        </w:rPr>
        <w:t xml:space="preserve">- </w:t>
      </w:r>
      <w:r w:rsidRPr="00B1472D">
        <w:rPr>
          <w:sz w:val="28"/>
          <w:szCs w:val="28"/>
        </w:rPr>
        <w:t xml:space="preserve">принимает в соответствии с гражданским </w:t>
      </w:r>
      <w:hyperlink r:id="rId9" w:history="1">
        <w:r w:rsidRPr="00B1472D">
          <w:rPr>
            <w:sz w:val="28"/>
            <w:szCs w:val="28"/>
          </w:rPr>
          <w:t>законодательством</w:t>
        </w:r>
      </w:hyperlink>
      <w:r w:rsidRPr="00B1472D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4) в области строительства, транспорта и связи: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B1472D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1472D">
        <w:rPr>
          <w:color w:val="000000" w:themeColor="text1"/>
          <w:sz w:val="28"/>
          <w:szCs w:val="28"/>
        </w:rPr>
        <w:lastRenderedPageBreak/>
        <w:t>- разрабатывает и утверждает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организует и осуществляет мероприятия по работе с детьми и молодежью в Поселении;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156CDC" w:rsidRPr="00B1472D" w:rsidRDefault="00156CDC" w:rsidP="00156CD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472D">
        <w:rPr>
          <w:rFonts w:eastAsia="Calibri"/>
          <w:color w:val="000000"/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водоотведении».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7) в сфере благоустройства: </w:t>
      </w:r>
    </w:p>
    <w:p w:rsidR="00156CDC" w:rsidRPr="00B1472D" w:rsidRDefault="00156CDC" w:rsidP="00156CDC">
      <w:pPr>
        <w:ind w:firstLine="709"/>
        <w:jc w:val="both"/>
        <w:rPr>
          <w:sz w:val="28"/>
          <w:szCs w:val="28"/>
          <w:u w:val="single"/>
        </w:rPr>
      </w:pPr>
      <w:r w:rsidRPr="00B1472D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156CDC" w:rsidRPr="00B1472D" w:rsidRDefault="00156CDC" w:rsidP="00156CDC">
      <w:pPr>
        <w:ind w:firstLine="709"/>
        <w:jc w:val="both"/>
        <w:rPr>
          <w:sz w:val="20"/>
          <w:szCs w:val="20"/>
          <w:u w:val="single"/>
        </w:rPr>
      </w:pPr>
      <w:r w:rsidRPr="00B1472D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lastRenderedPageBreak/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9) в области культуры, спорта и работы с детьми и молодежью: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организует и осуществляет мероприятий по работе с детьми и молодежью;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>11) в области осуществления муниципального контроля: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организует и осуществляет региональный государственный контроль (надзор), полномочия </w:t>
      </w:r>
      <w:proofErr w:type="gramStart"/>
      <w:r w:rsidRPr="009F0C78">
        <w:rPr>
          <w:rFonts w:eastAsia="Calibri"/>
          <w:sz w:val="28"/>
          <w:szCs w:val="28"/>
        </w:rPr>
        <w:t>по осуществлению</w:t>
      </w:r>
      <w:proofErr w:type="gramEnd"/>
      <w:r w:rsidRPr="009F0C78">
        <w:rPr>
          <w:rFonts w:eastAsia="Calibri"/>
          <w:sz w:val="28"/>
          <w:szCs w:val="28"/>
        </w:rPr>
        <w:t xml:space="preserve"> которого наделены органы местного самоуправления;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организует и проводит мониторинг эффективности муниципального </w:t>
      </w:r>
      <w:r w:rsidRPr="009F0C78">
        <w:rPr>
          <w:rFonts w:eastAsia="Calibri"/>
          <w:sz w:val="28"/>
          <w:szCs w:val="28"/>
        </w:rPr>
        <w:lastRenderedPageBreak/>
        <w:t xml:space="preserve">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полномочия.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12) иные полномочия: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обеспечивает формирование архивных фондов поселения;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проведение. </w:t>
      </w:r>
    </w:p>
    <w:p w:rsidR="00156CDC" w:rsidRPr="009F0C78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0C78">
        <w:rPr>
          <w:rFonts w:eastAsia="Calibri"/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создает музеи Поселения;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-совершает нотариальные действия, предусмотренные законодательством в случае отсутствия в Поселении нотариуса;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создает муниципальную пожарную охрану;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>- создает условия для развития туризма;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 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содержания.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156CDC" w:rsidRPr="00B1472D" w:rsidRDefault="00156CDC" w:rsidP="00156CDC">
      <w:pPr>
        <w:ind w:firstLine="720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"Об основах системы профилактики правонарушений в Российской Федерации". </w:t>
      </w:r>
    </w:p>
    <w:p w:rsidR="00156CDC" w:rsidRPr="00B1472D" w:rsidRDefault="00156CDC" w:rsidP="00156CDC">
      <w:pPr>
        <w:ind w:firstLine="708"/>
        <w:jc w:val="both"/>
        <w:rPr>
          <w:i/>
          <w:sz w:val="28"/>
          <w:szCs w:val="28"/>
          <w:u w:val="single"/>
        </w:rPr>
      </w:pPr>
      <w:r w:rsidRPr="00B1472D">
        <w:rPr>
          <w:bCs/>
          <w:sz w:val="28"/>
          <w:szCs w:val="28"/>
        </w:rPr>
        <w:t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156CDC" w:rsidRPr="00B1472D" w:rsidRDefault="00156CDC" w:rsidP="00156CDC">
      <w:pPr>
        <w:ind w:firstLine="708"/>
        <w:jc w:val="both"/>
        <w:rPr>
          <w:i/>
          <w:sz w:val="28"/>
          <w:szCs w:val="28"/>
          <w:u w:val="single"/>
        </w:rPr>
      </w:pPr>
      <w:r w:rsidRPr="00B1472D">
        <w:rPr>
          <w:sz w:val="28"/>
          <w:szCs w:val="28"/>
        </w:rPr>
        <w:lastRenderedPageBreak/>
        <w:t xml:space="preserve">- осуществляет мероприятия по защите прав потребителей, предусмотренных </w:t>
      </w:r>
      <w:hyperlink r:id="rId10" w:history="1">
        <w:r w:rsidRPr="00B1472D">
          <w:rPr>
            <w:sz w:val="28"/>
            <w:szCs w:val="28"/>
          </w:rPr>
          <w:t>Законом Российской Федерации от 7 февраля 1992 года № 2300-1 «О защите прав потребителей».</w:t>
        </w:r>
      </w:hyperlink>
    </w:p>
    <w:p w:rsidR="00156CDC" w:rsidRPr="00B1472D" w:rsidRDefault="00156CDC" w:rsidP="00156CDC">
      <w:pPr>
        <w:ind w:firstLine="720"/>
        <w:jc w:val="both"/>
        <w:rPr>
          <w:i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- </w:t>
      </w:r>
      <w:r w:rsidRPr="00B1472D">
        <w:rPr>
          <w:sz w:val="28"/>
          <w:szCs w:val="28"/>
        </w:rPr>
        <w:t>организует мероприятия при осуществлении деятельности по обращению с животными без владельцев</w:t>
      </w:r>
      <w:r w:rsidRPr="00B1472D">
        <w:rPr>
          <w:rFonts w:eastAsia="Calibri"/>
          <w:sz w:val="28"/>
          <w:szCs w:val="28"/>
        </w:rPr>
        <w:t>;</w:t>
      </w:r>
      <w:r w:rsidRPr="00B1472D">
        <w:rPr>
          <w:rFonts w:eastAsia="Calibri"/>
          <w:color w:val="31849B"/>
          <w:sz w:val="28"/>
          <w:szCs w:val="28"/>
        </w:rPr>
        <w:t xml:space="preserve"> </w:t>
      </w:r>
    </w:p>
    <w:p w:rsidR="00156CDC" w:rsidRPr="00B1472D" w:rsidRDefault="00156CDC" w:rsidP="00156CDC">
      <w:pPr>
        <w:ind w:firstLine="708"/>
        <w:jc w:val="both"/>
        <w:rPr>
          <w:sz w:val="28"/>
          <w:szCs w:val="28"/>
        </w:rPr>
      </w:pPr>
      <w:r w:rsidRPr="00B1472D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156CDC" w:rsidRPr="00B1472D" w:rsidRDefault="00156CDC" w:rsidP="00156CDC">
      <w:pPr>
        <w:ind w:firstLine="709"/>
        <w:jc w:val="both"/>
        <w:rPr>
          <w:i/>
          <w:sz w:val="28"/>
          <w:szCs w:val="28"/>
        </w:rPr>
      </w:pPr>
      <w:r w:rsidRPr="00B1472D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156CDC" w:rsidRPr="00B1472D" w:rsidRDefault="00156CDC" w:rsidP="00156CDC">
      <w:pPr>
        <w:ind w:firstLine="709"/>
        <w:jc w:val="both"/>
        <w:rPr>
          <w:i/>
          <w:sz w:val="28"/>
          <w:szCs w:val="28"/>
        </w:rPr>
      </w:pPr>
      <w:r w:rsidRPr="00B1472D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156CDC" w:rsidRPr="00B1472D" w:rsidRDefault="00156CDC" w:rsidP="00156CD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156CDC" w:rsidRDefault="00156CDC" w:rsidP="00156CDC">
      <w:pPr>
        <w:jc w:val="both"/>
        <w:rPr>
          <w:rFonts w:eastAsia="Calibri"/>
          <w:sz w:val="28"/>
          <w:szCs w:val="28"/>
        </w:rPr>
      </w:pPr>
      <w:r w:rsidRPr="00B1472D">
        <w:rPr>
          <w:rFonts w:eastAsia="Calibri"/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6CDC" w:rsidRDefault="00156CDC" w:rsidP="00156CDC">
      <w:pPr>
        <w:jc w:val="center"/>
        <w:rPr>
          <w:rFonts w:eastAsia="Calibri"/>
          <w:sz w:val="28"/>
          <w:szCs w:val="28"/>
        </w:rPr>
      </w:pPr>
    </w:p>
    <w:p w:rsidR="00C72BB4" w:rsidRPr="00D91D2A" w:rsidRDefault="007B30E3" w:rsidP="00156CD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</w:t>
      </w:r>
      <w:r w:rsidR="00D91D2A" w:rsidRPr="00D91D2A">
        <w:rPr>
          <w:sz w:val="28"/>
          <w:szCs w:val="28"/>
        </w:rPr>
        <w:lastRenderedPageBreak/>
        <w:t xml:space="preserve">службе в муниципальном районе. Лица, осуществляющие службу на муниципальных должностях в Исполкоме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156CD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156CDC">
        <w:rPr>
          <w:sz w:val="28"/>
          <w:szCs w:val="28"/>
        </w:rPr>
        <w:t>Кощаковского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1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DB" w:rsidRDefault="000915DB" w:rsidP="006D1BAF">
      <w:r>
        <w:separator/>
      </w:r>
    </w:p>
  </w:endnote>
  <w:endnote w:type="continuationSeparator" w:id="0">
    <w:p w:rsidR="000915DB" w:rsidRDefault="000915DB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DB" w:rsidRDefault="000915DB" w:rsidP="006D1BAF">
      <w:r>
        <w:separator/>
      </w:r>
    </w:p>
  </w:footnote>
  <w:footnote w:type="continuationSeparator" w:id="0">
    <w:p w:rsidR="000915DB" w:rsidRDefault="000915DB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B47"/>
    <w:multiLevelType w:val="hybridMultilevel"/>
    <w:tmpl w:val="33B064AA"/>
    <w:lvl w:ilvl="0" w:tplc="B0203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25A3B"/>
    <w:rsid w:val="000410CB"/>
    <w:rsid w:val="00060036"/>
    <w:rsid w:val="000670B4"/>
    <w:rsid w:val="0008082E"/>
    <w:rsid w:val="000915DB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488F"/>
    <w:rsid w:val="00155F35"/>
    <w:rsid w:val="00156CDC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455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3F0E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56B7D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9E59AA"/>
    <w:rsid w:val="00A1443C"/>
    <w:rsid w:val="00A17538"/>
    <w:rsid w:val="00A25299"/>
    <w:rsid w:val="00A30E1C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1F893"/>
  <w15:docId w15:val="{1CC6A02C-DC9E-48F9-8086-9E2005B3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5388&amp;prevdoc=550202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E6A4-6B92-46B4-B38A-D44782CF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28563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3</cp:revision>
  <cp:lastPrinted>2019-07-02T05:38:00Z</cp:lastPrinted>
  <dcterms:created xsi:type="dcterms:W3CDTF">2024-01-17T09:59:00Z</dcterms:created>
  <dcterms:modified xsi:type="dcterms:W3CDTF">2024-01-17T11:24:00Z</dcterms:modified>
</cp:coreProperties>
</file>