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1C22FE" w:rsidP="001C22F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spellStart"/>
      <w:r w:rsidR="00B6131D">
        <w:rPr>
          <w:rFonts w:ascii="Times New Roman" w:eastAsia="Times New Roman" w:hAnsi="Times New Roman" w:cs="Times New Roman"/>
          <w:sz w:val="28"/>
          <w:szCs w:val="28"/>
          <w:lang w:eastAsia="ru-RU"/>
        </w:rPr>
        <w:t>Шигалеевского</w:t>
      </w:r>
      <w:proofErr w:type="spellEnd"/>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proofErr w:type="spellStart"/>
      <w:r w:rsidR="00B6131D">
        <w:rPr>
          <w:rFonts w:ascii="Times New Roman" w:eastAsia="Times New Roman" w:hAnsi="Times New Roman" w:cs="Times New Roman"/>
          <w:sz w:val="28"/>
          <w:szCs w:val="28"/>
          <w:lang w:eastAsia="ru-RU"/>
        </w:rPr>
        <w:t>Шигалеевского</w:t>
      </w:r>
      <w:proofErr w:type="spellEnd"/>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620BB3">
        <w:rPr>
          <w:rFonts w:ascii="Times New Roman" w:eastAsia="Times New Roman" w:hAnsi="Times New Roman" w:cs="Times New Roman"/>
          <w:sz w:val="28"/>
          <w:szCs w:val="28"/>
          <w:lang w:eastAsia="ru-RU"/>
        </w:rPr>
        <w:t>муниципального</w:t>
      </w:r>
      <w:r w:rsidR="00620BB3">
        <w:rPr>
          <w:rFonts w:ascii="Times New Roman" w:eastAsia="Times New Roman" w:hAnsi="Times New Roman" w:cs="Times New Roman"/>
          <w:noProof/>
          <w:sz w:val="28"/>
          <w:szCs w:val="28"/>
          <w:lang w:eastAsia="ru-RU"/>
        </w:rPr>
        <w:t xml:space="preserve">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1C22FE"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от __ ______</w:t>
      </w:r>
      <w:r w:rsidR="00030A3C">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20</w:t>
      </w:r>
      <w:r w:rsidR="00030A3C">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2E3C0B">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 xml:space="preserve">   </w:t>
      </w:r>
      <w:r w:rsidR="00B6131D">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 xml:space="preserve">     №</w:t>
      </w:r>
      <w:r w:rsidR="00B6131D">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____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B6131D">
        <w:rPr>
          <w:rFonts w:ascii="Times New Roman" w:eastAsia="Times New Roman" w:hAnsi="Times New Roman" w:cs="Times New Roman"/>
          <w:sz w:val="28"/>
          <w:szCs w:val="28"/>
          <w:lang w:eastAsia="ru-RU"/>
        </w:rPr>
        <w:t>Шигалеевского</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620BB3" w:rsidRPr="00620BB3">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мерах</w:t>
      </w:r>
      <w:proofErr w:type="gramEnd"/>
      <w:r w:rsidRPr="00274E13">
        <w:rPr>
          <w:rFonts w:ascii="Times New Roman" w:eastAsia="Times New Roman" w:hAnsi="Times New Roman" w:cs="Times New Roman"/>
          <w:sz w:val="28"/>
          <w:szCs w:val="28"/>
          <w:lang w:eastAsia="ru-RU"/>
        </w:rPr>
        <w:t xml:space="preserve">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B6131D">
        <w:rPr>
          <w:rFonts w:ascii="Times New Roman" w:eastAsia="Times New Roman" w:hAnsi="Times New Roman" w:cs="Times New Roman"/>
          <w:sz w:val="28"/>
          <w:szCs w:val="28"/>
          <w:lang w:eastAsia="ru-RU"/>
        </w:rPr>
        <w:t>Шигалеевского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620BB3" w:rsidRPr="00620BB3">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proofErr w:type="spellStart"/>
      <w:r w:rsidR="00B6131D">
        <w:rPr>
          <w:rFonts w:ascii="Times New Roman" w:eastAsia="Times New Roman" w:hAnsi="Times New Roman" w:cs="Times New Roman"/>
          <w:sz w:val="28"/>
          <w:szCs w:val="28"/>
          <w:lang w:eastAsia="ru-RU"/>
        </w:rPr>
        <w:t>Шигалеевского</w:t>
      </w:r>
      <w:proofErr w:type="spellEnd"/>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муниципального</w:t>
      </w:r>
      <w:r w:rsidR="00620BB3"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B6131D">
        <w:rPr>
          <w:rFonts w:ascii="Times New Roman" w:eastAsia="Times New Roman" w:hAnsi="Times New Roman" w:cs="Times New Roman"/>
          <w:sz w:val="28"/>
          <w:szCs w:val="28"/>
          <w:lang w:eastAsia="ru-RU"/>
        </w:rPr>
        <w:t>Шигалеевского</w:t>
      </w:r>
      <w:proofErr w:type="spell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муниципального</w:t>
      </w:r>
      <w:r w:rsidR="00620BB3"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446167"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D151D" w:rsidRDefault="00446167"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sidR="00B6131D">
        <w:rPr>
          <w:rFonts w:ascii="Times New Roman" w:eastAsia="Times New Roman" w:hAnsi="Times New Roman" w:cs="Times New Roman"/>
          <w:sz w:val="28"/>
          <w:szCs w:val="28"/>
          <w:lang w:eastAsia="ru-RU"/>
        </w:rPr>
        <w:t>Шигалеевского</w:t>
      </w:r>
      <w:proofErr w:type="spellEnd"/>
      <w:r w:rsidR="00274E13"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B6131D" w:rsidRDefault="00397F8C"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sectPr w:rsidR="00274E13" w:rsidRPr="00B6131D" w:rsidSect="00397F8C">
          <w:headerReference w:type="default" r:id="rId9"/>
          <w:pgSz w:w="11906" w:h="16838"/>
          <w:pgMar w:top="567" w:right="567" w:bottom="1134" w:left="1134" w:header="709" w:footer="709" w:gutter="0"/>
          <w:pgNumType w:start="1"/>
          <w:cols w:space="708"/>
          <w:titlePg/>
          <w:docGrid w:linePitch="360"/>
        </w:sectPr>
      </w:pPr>
      <w:proofErr w:type="spellStart"/>
      <w:r w:rsidRPr="00397F8C">
        <w:rPr>
          <w:rFonts w:ascii="Times New Roman" w:eastAsia="Times New Roman" w:hAnsi="Times New Roman" w:cs="Times New Roman"/>
          <w:sz w:val="28"/>
          <w:szCs w:val="28"/>
          <w:lang w:eastAsia="ru-RU"/>
        </w:rPr>
        <w:t>Пестречинского</w:t>
      </w:r>
      <w:proofErr w:type="spellEnd"/>
      <w:r w:rsidR="007D151D">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 xml:space="preserve">муниципального района </w:t>
      </w:r>
      <w:r w:rsidR="007D151D">
        <w:rPr>
          <w:rFonts w:ascii="Times New Roman" w:eastAsia="Times New Roman" w:hAnsi="Times New Roman" w:cs="Times New Roman"/>
          <w:sz w:val="28"/>
          <w:szCs w:val="28"/>
          <w:lang w:eastAsia="ru-RU"/>
        </w:rPr>
        <w:t xml:space="preserve"> </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620BB3">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620BB3">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proofErr w:type="spellStart"/>
      <w:r w:rsidR="00620BB3">
        <w:rPr>
          <w:rFonts w:ascii="Times New Roman" w:eastAsia="Times New Roman" w:hAnsi="Times New Roman" w:cs="Times New Roman"/>
          <w:sz w:val="28"/>
          <w:szCs w:val="28"/>
          <w:lang w:eastAsia="ru-RU"/>
        </w:rPr>
        <w:t>В.М.</w:t>
      </w:r>
      <w:r w:rsidR="00B6131D" w:rsidRPr="00B6131D">
        <w:rPr>
          <w:rFonts w:ascii="Times New Roman" w:eastAsia="Times New Roman" w:hAnsi="Times New Roman" w:cs="Times New Roman"/>
          <w:sz w:val="28"/>
          <w:szCs w:val="28"/>
          <w:lang w:eastAsia="ru-RU"/>
        </w:rPr>
        <w:t>Салимов</w:t>
      </w:r>
      <w:proofErr w:type="spellEnd"/>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B6131D">
        <w:rPr>
          <w:rFonts w:ascii="Times New Roman" w:eastAsia="Times New Roman" w:hAnsi="Times New Roman" w:cs="Times New Roman"/>
          <w:sz w:val="24"/>
          <w:szCs w:val="24"/>
          <w:lang w:eastAsia="ru-RU"/>
        </w:rPr>
        <w:t>Шигалеевского</w:t>
      </w:r>
      <w:proofErr w:type="spell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3E473E" w:rsidRPr="00030A3C">
        <w:rPr>
          <w:rFonts w:ascii="Times New Roman" w:eastAsia="Times New Roman" w:hAnsi="Times New Roman" w:cs="Times New Roman"/>
          <w:sz w:val="24"/>
          <w:szCs w:val="24"/>
          <w:lang w:eastAsia="ru-RU"/>
        </w:rPr>
        <w:t xml:space="preserve"> </w:t>
      </w:r>
      <w:r w:rsidR="00620BB3" w:rsidRPr="00620BB3">
        <w:rPr>
          <w:rFonts w:ascii="Times New Roman" w:eastAsia="Times New Roman" w:hAnsi="Times New Roman" w:cs="Times New Roman"/>
          <w:lang w:eastAsia="ru-RU"/>
        </w:rPr>
        <w:t>муниципального</w:t>
      </w:r>
      <w:r w:rsidR="00620BB3" w:rsidRPr="00030A3C">
        <w:rPr>
          <w:rFonts w:ascii="Times New Roman" w:eastAsia="Times New Roman" w:hAnsi="Times New Roman" w:cs="Times New Roman"/>
          <w:sz w:val="24"/>
          <w:szCs w:val="24"/>
          <w:lang w:eastAsia="ru-RU"/>
        </w:rPr>
        <w:t xml:space="preserve">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1C22FE">
        <w:rPr>
          <w:rFonts w:ascii="Times New Roman" w:eastAsia="Times New Roman" w:hAnsi="Times New Roman" w:cs="Times New Roman"/>
          <w:sz w:val="24"/>
          <w:szCs w:val="24"/>
          <w:lang w:eastAsia="ru-RU"/>
        </w:rPr>
        <w:t>__ ______</w:t>
      </w:r>
      <w:r w:rsidRPr="00030A3C">
        <w:rPr>
          <w:rFonts w:ascii="Times New Roman" w:eastAsia="Times New Roman" w:hAnsi="Times New Roman" w:cs="Times New Roman"/>
          <w:sz w:val="24"/>
          <w:szCs w:val="24"/>
          <w:lang w:eastAsia="ru-RU"/>
        </w:rPr>
        <w:t>202</w:t>
      </w:r>
      <w:r w:rsidR="00030A3C" w:rsidRPr="00030A3C">
        <w:rPr>
          <w:rFonts w:ascii="Times New Roman" w:eastAsia="Times New Roman" w:hAnsi="Times New Roman" w:cs="Times New Roman"/>
          <w:sz w:val="24"/>
          <w:szCs w:val="24"/>
          <w:lang w:eastAsia="ru-RU"/>
        </w:rPr>
        <w:t>4</w:t>
      </w:r>
      <w:r w:rsidRPr="00030A3C">
        <w:rPr>
          <w:rFonts w:ascii="Times New Roman" w:eastAsia="Times New Roman" w:hAnsi="Times New Roman" w:cs="Times New Roman"/>
          <w:sz w:val="24"/>
          <w:szCs w:val="24"/>
          <w:lang w:eastAsia="ru-RU"/>
        </w:rPr>
        <w:t xml:space="preserve"> г</w:t>
      </w:r>
      <w:r w:rsidR="00030A3C" w:rsidRPr="00030A3C">
        <w:rPr>
          <w:rFonts w:ascii="Times New Roman" w:eastAsia="Times New Roman" w:hAnsi="Times New Roman" w:cs="Times New Roman"/>
          <w:sz w:val="24"/>
          <w:szCs w:val="24"/>
          <w:lang w:eastAsia="ru-RU"/>
        </w:rPr>
        <w:t>ода</w:t>
      </w:r>
      <w:r w:rsidRPr="00030A3C">
        <w:rPr>
          <w:rFonts w:ascii="Times New Roman" w:eastAsia="Times New Roman" w:hAnsi="Times New Roman" w:cs="Times New Roman"/>
          <w:sz w:val="24"/>
          <w:szCs w:val="24"/>
          <w:lang w:eastAsia="ru-RU"/>
        </w:rPr>
        <w:t xml:space="preserve"> №</w:t>
      </w:r>
      <w:r w:rsidR="001C22FE">
        <w:rPr>
          <w:rFonts w:ascii="Times New Roman" w:eastAsia="Times New Roman" w:hAnsi="Times New Roman" w:cs="Times New Roman"/>
          <w:sz w:val="24"/>
          <w:szCs w:val="24"/>
          <w:lang w:eastAsia="ru-RU"/>
        </w:rPr>
        <w:t xml:space="preserve"> ___</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821540">
        <w:rPr>
          <w:rFonts w:ascii="Times New Roman" w:eastAsia="Times New Roman" w:hAnsi="Times New Roman" w:cs="Times New Roman"/>
          <w:sz w:val="28"/>
          <w:szCs w:val="28"/>
          <w:lang w:eastAsia="ru-RU"/>
        </w:rPr>
        <w:t>Шигалеевском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муниципального</w:t>
      </w:r>
      <w:r w:rsidR="00620BB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620BB3">
        <w:rPr>
          <w:rFonts w:ascii="Times New Roman" w:eastAsia="Times New Roman" w:hAnsi="Times New Roman" w:cs="Times New Roman"/>
          <w:sz w:val="28"/>
          <w:szCs w:val="28"/>
          <w:lang w:eastAsia="ru-RU"/>
        </w:rPr>
        <w:t>Шигалеевском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620BB3" w:rsidRPr="00620BB3">
        <w:rPr>
          <w:rFonts w:ascii="Times New Roman" w:eastAsia="Times New Roman" w:hAnsi="Times New Roman" w:cs="Times New Roman"/>
          <w:sz w:val="28"/>
          <w:szCs w:val="28"/>
          <w:lang w:eastAsia="ru-RU"/>
        </w:rPr>
        <w:t xml:space="preserve"> </w:t>
      </w:r>
      <w:r w:rsidR="00620BB3">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620BB3">
        <w:rPr>
          <w:rFonts w:ascii="Times New Roman" w:eastAsia="Times New Roman" w:hAnsi="Times New Roman" w:cs="Times New Roman"/>
          <w:sz w:val="28"/>
          <w:szCs w:val="28"/>
          <w:lang w:eastAsia="ru-RU"/>
        </w:rPr>
        <w:t>Шигалеевского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620BB3">
        <w:rPr>
          <w:rFonts w:ascii="Times New Roman" w:eastAsia="Times New Roman" w:hAnsi="Times New Roman" w:cs="Times New Roman"/>
          <w:sz w:val="28"/>
          <w:szCs w:val="28"/>
          <w:lang w:eastAsia="ru-RU"/>
        </w:rPr>
        <w:t>Шигалеевского</w:t>
      </w:r>
      <w:proofErr w:type="spellEnd"/>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proofErr w:type="spellStart"/>
      <w:r w:rsidR="00460A70">
        <w:rPr>
          <w:rFonts w:ascii="Times New Roman" w:eastAsia="Times New Roman" w:hAnsi="Times New Roman" w:cs="Times New Roman"/>
          <w:sz w:val="28"/>
          <w:szCs w:val="28"/>
          <w:lang w:eastAsia="ru-RU"/>
        </w:rPr>
        <w:t>Шигалеевского</w:t>
      </w:r>
      <w:proofErr w:type="spellEnd"/>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lastRenderedPageBreak/>
        <w:t>о</w:t>
      </w:r>
      <w:proofErr w:type="gramEnd"/>
      <w:r w:rsidRPr="00274E13">
        <w:rPr>
          <w:rFonts w:ascii="Times New Roman" w:eastAsia="Times New Roman" w:hAnsi="Times New Roman" w:cs="Times New Roman"/>
          <w:sz w:val="28"/>
          <w:szCs w:val="28"/>
          <w:lang w:eastAsia="ru-RU"/>
        </w:rPr>
        <w:t>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460A70">
        <w:rPr>
          <w:rFonts w:ascii="Times New Roman" w:eastAsia="Times New Roman" w:hAnsi="Times New Roman" w:cs="Times New Roman"/>
          <w:sz w:val="28"/>
          <w:szCs w:val="28"/>
          <w:lang w:eastAsia="ru-RU"/>
        </w:rPr>
        <w:t>Шигалеевского</w:t>
      </w:r>
      <w:proofErr w:type="spellEnd"/>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1C22FE">
        <w:rPr>
          <w:rFonts w:ascii="Times New Roman" w:eastAsia="Times New Roman" w:hAnsi="Times New Roman" w:cs="Times New Roman"/>
          <w:sz w:val="28"/>
          <w:szCs w:val="28"/>
          <w:lang w:eastAsia="ru-RU"/>
        </w:rPr>
        <w:t>__ ______</w:t>
      </w:r>
      <w:r w:rsidR="00B03C7D">
        <w:rPr>
          <w:rFonts w:ascii="Times New Roman" w:eastAsia="Times New Roman" w:hAnsi="Times New Roman" w:cs="Times New Roman"/>
          <w:sz w:val="28"/>
          <w:szCs w:val="28"/>
          <w:lang w:eastAsia="ru-RU"/>
        </w:rPr>
        <w:t>202</w:t>
      </w:r>
      <w:r w:rsidR="00460A70">
        <w:rPr>
          <w:rFonts w:ascii="Times New Roman" w:eastAsia="Times New Roman" w:hAnsi="Times New Roman" w:cs="Times New Roman"/>
          <w:sz w:val="28"/>
          <w:szCs w:val="28"/>
          <w:lang w:eastAsia="ru-RU"/>
        </w:rPr>
        <w:t>4</w:t>
      </w:r>
      <w:r w:rsidR="00B03C7D">
        <w:rPr>
          <w:rFonts w:ascii="Times New Roman" w:eastAsia="Times New Roman" w:hAnsi="Times New Roman" w:cs="Times New Roman"/>
          <w:sz w:val="28"/>
          <w:szCs w:val="28"/>
          <w:lang w:eastAsia="ru-RU"/>
        </w:rPr>
        <w:t xml:space="preserve"> года</w:t>
      </w:r>
      <w:r w:rsidR="001C22FE">
        <w:rPr>
          <w:rFonts w:ascii="Times New Roman" w:eastAsia="Times New Roman" w:hAnsi="Times New Roman" w:cs="Times New Roman"/>
          <w:sz w:val="28"/>
          <w:szCs w:val="28"/>
          <w:lang w:eastAsia="ru-RU"/>
        </w:rPr>
        <w:t xml:space="preserve"> № ___</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460A70">
        <w:rPr>
          <w:rFonts w:ascii="Times New Roman" w:eastAsia="Times New Roman" w:hAnsi="Times New Roman" w:cs="Times New Roman"/>
          <w:sz w:val="28"/>
          <w:szCs w:val="28"/>
          <w:lang w:eastAsia="ru-RU"/>
        </w:rPr>
        <w:t xml:space="preserve"> </w:t>
      </w:r>
      <w:proofErr w:type="spellStart"/>
      <w:r w:rsidR="00460A70" w:rsidRPr="00460A70">
        <w:rPr>
          <w:rFonts w:ascii="Times New Roman" w:eastAsia="Times New Roman" w:hAnsi="Times New Roman" w:cs="Times New Roman"/>
          <w:sz w:val="28"/>
          <w:szCs w:val="28"/>
          <w:lang w:eastAsia="ru-RU"/>
        </w:rPr>
        <w:t>Шигалеевском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w:t>
      </w:r>
      <w:r w:rsidRPr="000E297F">
        <w:rPr>
          <w:rFonts w:ascii="Times New Roman" w:eastAsia="Times New Roman" w:hAnsi="Times New Roman" w:cs="Times New Roman"/>
          <w:sz w:val="28"/>
          <w:szCs w:val="24"/>
          <w:lang w:eastAsia="ru-RU"/>
        </w:rPr>
        <w:lastRenderedPageBreak/>
        <w:t xml:space="preserve">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B6131D">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B6131D">
        <w:trPr>
          <w:trHeight w:val="184"/>
        </w:trPr>
        <w:tc>
          <w:tcPr>
            <w:tcW w:w="425"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B6131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B6131D">
        <w:tc>
          <w:tcPr>
            <w:tcW w:w="425"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B6131D">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B6131D">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B613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821540">
        <w:rPr>
          <w:rFonts w:ascii="Times New Roman" w:eastAsia="Times New Roman" w:hAnsi="Times New Roman" w:cs="Times New Roman"/>
          <w:sz w:val="28"/>
          <w:szCs w:val="28"/>
          <w:lang w:eastAsia="ru-RU"/>
        </w:rPr>
        <w:t>Шигалеевского</w:t>
      </w:r>
      <w:proofErr w:type="spellEnd"/>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27 декабря 202</w:t>
      </w:r>
      <w:r w:rsidR="0082154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Pr="00274E13">
        <w:rPr>
          <w:rFonts w:ascii="Times New Roman" w:eastAsia="Times New Roman" w:hAnsi="Times New Roman" w:cs="Times New Roman"/>
          <w:sz w:val="28"/>
          <w:szCs w:val="28"/>
          <w:lang w:eastAsia="ru-RU"/>
        </w:rPr>
        <w:t xml:space="preserve"> №</w:t>
      </w:r>
      <w:r w:rsidR="007D151D">
        <w:rPr>
          <w:rFonts w:ascii="Times New Roman" w:eastAsia="Times New Roman" w:hAnsi="Times New Roman" w:cs="Times New Roman"/>
          <w:sz w:val="28"/>
          <w:szCs w:val="28"/>
          <w:lang w:eastAsia="ru-RU"/>
        </w:rPr>
        <w:t xml:space="preserve"> 10</w:t>
      </w:r>
      <w:r w:rsidR="00460BC8">
        <w:rPr>
          <w:rFonts w:ascii="Times New Roman" w:eastAsia="Times New Roman" w:hAnsi="Times New Roman" w:cs="Times New Roman"/>
          <w:sz w:val="28"/>
          <w:szCs w:val="28"/>
          <w:lang w:eastAsia="ru-RU"/>
        </w:rPr>
        <w:t>2</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821540"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sidRPr="00821540">
        <w:rPr>
          <w:rFonts w:ascii="Times New Roman" w:eastAsia="Times New Roman" w:hAnsi="Times New Roman" w:cs="Times New Roman"/>
          <w:sz w:val="28"/>
          <w:szCs w:val="28"/>
          <w:lang w:eastAsia="ru-RU"/>
        </w:rPr>
        <w:t>Шигалеевского</w:t>
      </w:r>
      <w:proofErr w:type="spellEnd"/>
      <w:r w:rsidR="00274E13" w:rsidRPr="00821540">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494ADE"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494ADE"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Старое </w:t>
            </w:r>
            <w:proofErr w:type="spellStart"/>
            <w:r>
              <w:rPr>
                <w:rFonts w:ascii="Times New Roman" w:eastAsia="Times New Roman" w:hAnsi="Times New Roman" w:cs="Times New Roman"/>
                <w:sz w:val="28"/>
                <w:lang w:eastAsia="ru-RU"/>
              </w:rPr>
              <w:t>Шигалеево</w:t>
            </w:r>
            <w:proofErr w:type="spellEnd"/>
          </w:p>
        </w:tc>
        <w:tc>
          <w:tcPr>
            <w:tcW w:w="4469" w:type="dxa"/>
          </w:tcPr>
          <w:p w:rsidR="00632F6D" w:rsidRPr="00274E13" w:rsidRDefault="00494ADE"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.С</w:t>
            </w:r>
            <w:proofErr w:type="gramEnd"/>
            <w:r>
              <w:rPr>
                <w:rFonts w:ascii="Times New Roman" w:eastAsia="Times New Roman" w:hAnsi="Times New Roman" w:cs="Times New Roman"/>
                <w:sz w:val="28"/>
                <w:lang w:eastAsia="ru-RU"/>
              </w:rPr>
              <w:t>тарое</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Шигалеево</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ул.Лесная</w:t>
            </w:r>
            <w:proofErr w:type="spellEnd"/>
          </w:p>
        </w:tc>
        <w:tc>
          <w:tcPr>
            <w:tcW w:w="2193" w:type="dxa"/>
          </w:tcPr>
          <w:p w:rsidR="00632F6D" w:rsidRPr="00274E13" w:rsidRDefault="00494ADE"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 6:00-18:00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proofErr w:type="spellStart"/>
      <w:r w:rsidR="00821540">
        <w:rPr>
          <w:rFonts w:ascii="Times New Roman" w:eastAsia="Times New Roman" w:hAnsi="Times New Roman" w:cs="Times New Roman"/>
          <w:sz w:val="28"/>
          <w:szCs w:val="28"/>
          <w:lang w:eastAsia="ru-RU"/>
        </w:rPr>
        <w:t>Шигалеевского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1C22FE"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bookmarkStart w:id="0" w:name="_GoBack"/>
      <w:bookmarkEnd w:id="0"/>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r>
            <w:r w:rsidRPr="00274E13">
              <w:rPr>
                <w:rFonts w:ascii="Times New Roman" w:eastAsia="Times New Roman" w:hAnsi="Times New Roman" w:cs="Times New Roman"/>
                <w:sz w:val="28"/>
                <w:lang w:eastAsia="ru-RU"/>
              </w:rPr>
              <w:lastRenderedPageBreak/>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t xml:space="preserve">5. Оказание комплекса услуг по погребению </w:t>
            </w:r>
            <w:r w:rsidRPr="00274E13">
              <w:rPr>
                <w:rFonts w:ascii="Times New Roman" w:eastAsia="Times New Roman" w:hAnsi="Times New Roman" w:cs="Times New Roman"/>
                <w:sz w:val="28"/>
                <w:lang w:eastAsia="ru-RU"/>
              </w:rPr>
              <w:lastRenderedPageBreak/>
              <w:t>(захоронению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72" w:rsidRDefault="00EF3572" w:rsidP="000E297F">
      <w:pPr>
        <w:spacing w:after="0" w:line="240" w:lineRule="auto"/>
      </w:pPr>
      <w:r>
        <w:separator/>
      </w:r>
    </w:p>
  </w:endnote>
  <w:endnote w:type="continuationSeparator" w:id="0">
    <w:p w:rsidR="00EF3572" w:rsidRDefault="00EF3572"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72" w:rsidRDefault="00EF3572" w:rsidP="000E297F">
      <w:pPr>
        <w:spacing w:after="0" w:line="240" w:lineRule="auto"/>
      </w:pPr>
      <w:r>
        <w:separator/>
      </w:r>
    </w:p>
  </w:footnote>
  <w:footnote w:type="continuationSeparator" w:id="0">
    <w:p w:rsidR="00EF3572" w:rsidRDefault="00EF3572" w:rsidP="000E297F">
      <w:pPr>
        <w:spacing w:after="0" w:line="240" w:lineRule="auto"/>
      </w:pPr>
      <w:r>
        <w:continuationSeparator/>
      </w:r>
    </w:p>
  </w:footnote>
  <w:footnote w:id="1">
    <w:p w:rsidR="00446167" w:rsidRDefault="00446167"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446167" w:rsidRDefault="00446167">
        <w:pPr>
          <w:pStyle w:val="a7"/>
          <w:jc w:val="center"/>
        </w:pPr>
        <w:r>
          <w:fldChar w:fldCharType="begin"/>
        </w:r>
        <w:r>
          <w:instrText>PAGE   \* MERGEFORMAT</w:instrText>
        </w:r>
        <w:r>
          <w:fldChar w:fldCharType="separate"/>
        </w:r>
        <w:r w:rsidR="001C22FE">
          <w:rPr>
            <w:noProof/>
          </w:rPr>
          <w:t>3</w:t>
        </w:r>
        <w:r>
          <w:fldChar w:fldCharType="end"/>
        </w:r>
      </w:p>
    </w:sdtContent>
  </w:sdt>
  <w:p w:rsidR="00446167" w:rsidRDefault="0044616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446167" w:rsidRDefault="00446167">
        <w:pPr>
          <w:pStyle w:val="a7"/>
          <w:jc w:val="center"/>
        </w:pPr>
        <w:r>
          <w:fldChar w:fldCharType="begin"/>
        </w:r>
        <w:r>
          <w:instrText>PAGE   \* MERGEFORMAT</w:instrText>
        </w:r>
        <w:r>
          <w:fldChar w:fldCharType="separate"/>
        </w:r>
        <w:r w:rsidR="001C22FE">
          <w:rPr>
            <w:noProof/>
          </w:rPr>
          <w:t>3</w:t>
        </w:r>
        <w:r>
          <w:fldChar w:fldCharType="end"/>
        </w:r>
      </w:p>
    </w:sdtContent>
  </w:sdt>
  <w:p w:rsidR="00446167" w:rsidRDefault="0044616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167" w:rsidRDefault="00446167">
    <w:pPr>
      <w:pStyle w:val="a7"/>
      <w:jc w:val="center"/>
    </w:pPr>
  </w:p>
  <w:p w:rsidR="00446167" w:rsidRDefault="004461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872E9"/>
    <w:rsid w:val="000B4C35"/>
    <w:rsid w:val="000D07DA"/>
    <w:rsid w:val="000D372E"/>
    <w:rsid w:val="000E297F"/>
    <w:rsid w:val="00120469"/>
    <w:rsid w:val="0017352A"/>
    <w:rsid w:val="001914FB"/>
    <w:rsid w:val="001A7888"/>
    <w:rsid w:val="001C22FE"/>
    <w:rsid w:val="001D0C86"/>
    <w:rsid w:val="001E127E"/>
    <w:rsid w:val="002054FB"/>
    <w:rsid w:val="00227002"/>
    <w:rsid w:val="00274E13"/>
    <w:rsid w:val="0028764E"/>
    <w:rsid w:val="002A7D92"/>
    <w:rsid w:val="002E3C0B"/>
    <w:rsid w:val="00327F35"/>
    <w:rsid w:val="00346949"/>
    <w:rsid w:val="00352A84"/>
    <w:rsid w:val="003610D8"/>
    <w:rsid w:val="00380D2D"/>
    <w:rsid w:val="00397F8C"/>
    <w:rsid w:val="003B18E8"/>
    <w:rsid w:val="003E473E"/>
    <w:rsid w:val="003F3E15"/>
    <w:rsid w:val="0042067B"/>
    <w:rsid w:val="00424440"/>
    <w:rsid w:val="00427F2A"/>
    <w:rsid w:val="00441986"/>
    <w:rsid w:val="00446167"/>
    <w:rsid w:val="00450D11"/>
    <w:rsid w:val="00460A70"/>
    <w:rsid w:val="00460BC8"/>
    <w:rsid w:val="0046218C"/>
    <w:rsid w:val="004879A0"/>
    <w:rsid w:val="00494ADE"/>
    <w:rsid w:val="004B6E42"/>
    <w:rsid w:val="004F5992"/>
    <w:rsid w:val="004F6A0D"/>
    <w:rsid w:val="00571630"/>
    <w:rsid w:val="005D3168"/>
    <w:rsid w:val="005F0089"/>
    <w:rsid w:val="00610820"/>
    <w:rsid w:val="00620BB3"/>
    <w:rsid w:val="006263D7"/>
    <w:rsid w:val="0063130C"/>
    <w:rsid w:val="00632F6D"/>
    <w:rsid w:val="0066532F"/>
    <w:rsid w:val="007329BA"/>
    <w:rsid w:val="00780FBD"/>
    <w:rsid w:val="00784783"/>
    <w:rsid w:val="007B1D9C"/>
    <w:rsid w:val="007D151D"/>
    <w:rsid w:val="007F20D8"/>
    <w:rsid w:val="007F279B"/>
    <w:rsid w:val="00821540"/>
    <w:rsid w:val="00823BA1"/>
    <w:rsid w:val="00837AE1"/>
    <w:rsid w:val="00847A67"/>
    <w:rsid w:val="00860A1F"/>
    <w:rsid w:val="0088509D"/>
    <w:rsid w:val="0089448A"/>
    <w:rsid w:val="00894FE4"/>
    <w:rsid w:val="008B327E"/>
    <w:rsid w:val="008C7F38"/>
    <w:rsid w:val="00910A2D"/>
    <w:rsid w:val="00916C30"/>
    <w:rsid w:val="00945EA9"/>
    <w:rsid w:val="0094678A"/>
    <w:rsid w:val="00960CD3"/>
    <w:rsid w:val="009820CF"/>
    <w:rsid w:val="009A7D09"/>
    <w:rsid w:val="009E09EB"/>
    <w:rsid w:val="00A211E5"/>
    <w:rsid w:val="00A31A46"/>
    <w:rsid w:val="00A42B81"/>
    <w:rsid w:val="00A74B66"/>
    <w:rsid w:val="00AD77E1"/>
    <w:rsid w:val="00B03C7D"/>
    <w:rsid w:val="00B046CC"/>
    <w:rsid w:val="00B069BC"/>
    <w:rsid w:val="00B10DC3"/>
    <w:rsid w:val="00B305EC"/>
    <w:rsid w:val="00B6131D"/>
    <w:rsid w:val="00B7472E"/>
    <w:rsid w:val="00B95FAD"/>
    <w:rsid w:val="00BE4567"/>
    <w:rsid w:val="00C04516"/>
    <w:rsid w:val="00C637A3"/>
    <w:rsid w:val="00C86FDF"/>
    <w:rsid w:val="00C87264"/>
    <w:rsid w:val="00CC197D"/>
    <w:rsid w:val="00CD41EC"/>
    <w:rsid w:val="00D4205A"/>
    <w:rsid w:val="00D7147A"/>
    <w:rsid w:val="00DE764A"/>
    <w:rsid w:val="00DF2A34"/>
    <w:rsid w:val="00E12B5E"/>
    <w:rsid w:val="00E613F1"/>
    <w:rsid w:val="00EB3DFD"/>
    <w:rsid w:val="00EC6868"/>
    <w:rsid w:val="00EF3572"/>
    <w:rsid w:val="00F15D9F"/>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C984-4945-4F67-A235-F62FAEC2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15068</Words>
  <Characters>85888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10</cp:revision>
  <cp:lastPrinted>2024-12-24T08:45:00Z</cp:lastPrinted>
  <dcterms:created xsi:type="dcterms:W3CDTF">2024-12-10T12:16:00Z</dcterms:created>
  <dcterms:modified xsi:type="dcterms:W3CDTF">2025-01-13T07:40:00Z</dcterms:modified>
</cp:coreProperties>
</file>