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Проект </w:t>
      </w:r>
      <w:r>
        <w:rPr>
          <w:rFonts w:ascii="Times New Roman" w:hAnsi="Times New Roman" w:cs="Times New Roman"/>
          <w:b/>
        </w:rPr>
      </w:r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W w:w="4538" w:type="dxa"/>
            <w:textDirection w:val="lrTb"/>
            <w:noWrap w:val="false"/>
          </w:tcPr>
          <w:p>
            <w:pPr>
              <w:ind w:left="432" w:hanging="432"/>
              <w:jc w:val="center"/>
              <w:spacing w:after="0" w:line="276" w:lineRule="auto"/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Республика Татарстан</w:t>
            </w: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Исполнительный комитет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</w:r>
          </w:p>
          <w:p>
            <w:pPr>
              <w:ind w:left="432" w:hanging="432"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val="tt-RU" w:eastAsia="ru-RU"/>
              </w:rPr>
              <w:t xml:space="preserve">Пестречинского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val="tt-RU" w:eastAsia="ru-RU"/>
              </w:rPr>
            </w:r>
          </w:p>
          <w:p>
            <w:pPr>
              <w:ind w:left="432" w:hanging="432"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</w:r>
          </w:p>
          <w:p>
            <w:pPr>
              <w:ind w:left="432" w:hanging="432"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422770, с.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Пестрецы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, ул. Советская, 18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432" w:hanging="432"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zh-CN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zh-CN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after="0" w:line="276" w:lineRule="auto"/>
              <w:rPr>
                <w:rFonts w:ascii="Arial" w:hAnsi="Arial" w:eastAsia="Times New Roman" w:cs="Arial"/>
                <w:b/>
                <w:bCs/>
                <w:lang w:eastAsia="zh-CN"/>
              </w:rPr>
            </w:pPr>
            <w:r>
              <w:rPr>
                <w:rFonts w:ascii="Arial" w:hAnsi="Arial" w:eastAsia="Times New Roman" w:cs="Arial"/>
                <w:b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5850"/>
                      <wp:effectExtent l="0" t="0" r="0" b="0"/>
                      <wp:docPr id="1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5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Arial" w:hAnsi="Arial" w:eastAsia="Times New Roman" w:cs="Arial"/>
                <w:b/>
                <w:bCs/>
                <w:lang w:eastAsia="zh-CN"/>
              </w:rPr>
            </w:r>
          </w:p>
        </w:tc>
        <w:tc>
          <w:tcPr>
            <w:gridSpan w:val="2"/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after="0" w:line="276" w:lineRule="auto"/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Татарстан 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Республикасы</w:t>
            </w: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val="tt-RU" w:eastAsia="ru-RU"/>
              </w:rPr>
              <w:t xml:space="preserve">Питрәч муни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ципаль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</w:r>
          </w:p>
          <w:p>
            <w:pPr>
              <w:ind w:left="432" w:hanging="432"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районы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</w:r>
          </w:p>
          <w:p>
            <w:pPr>
              <w:ind w:left="432" w:hanging="432"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башкарма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 комитеты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</w:r>
          </w:p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422770,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Питр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tt-RU" w:eastAsia="ru-RU"/>
              </w:rPr>
              <w:t xml:space="preserve">ә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ч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авылы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, Совет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урамы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, 18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432" w:hanging="432"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lang w:val="en-US" w:eastAsia="zh-CN"/>
              </w:rPr>
            </w:r>
            <w:r>
              <w:rPr>
                <w:rFonts w:ascii="Times New Roman" w:hAnsi="Times New Roman" w:eastAsia="Times New Roman" w:cs="Times New Roman"/>
                <w:lang w:val="en-US" w:eastAsia="zh-CN"/>
              </w:rPr>
            </w:r>
          </w:p>
        </w:tc>
      </w:tr>
      <w:tr>
        <w:tblPrEx/>
        <w:trPr>
          <w:gridAfter w:val="1"/>
          <w:gridBefore w:val="1"/>
          <w:trHeight w:val="286"/>
        </w:trPr>
        <w:tc>
          <w:tcPr>
            <w:gridSpan w:val="3"/>
            <w:tcW w:w="10116" w:type="dxa"/>
            <w:textDirection w:val="lrTb"/>
            <w:noWrap w:val="false"/>
          </w:tcPr>
          <w:p>
            <w:pPr>
              <w:ind w:right="-1339"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тел. +7 (84367) 3-02-02</w:t>
            </w:r>
            <w:r>
              <w:rPr>
                <w:rFonts w:ascii="Times New Roman" w:hAnsi="Times New Roman" w:eastAsia="Times New Roman" w:cs="Times New Roman"/>
                <w:sz w:val="20"/>
                <w:lang w:eastAsia="ru-RU"/>
              </w:rPr>
              <w:t xml:space="preserve"> факс: (84367) 3-02-01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pitriash@tatar.r</w:t>
            </w:r>
            <w:r>
              <w:rPr>
                <w:rFonts w:ascii="Times New Roman" w:hAnsi="Times New Roman" w:eastAsia="Times New Roman" w:cs="Times New Roman"/>
                <w:lang w:val="en-US" w:eastAsia="ru-RU"/>
              </w:rPr>
              <w:t xml:space="preserve">u</w:t>
            </w:r>
            <w:r>
              <w:rPr>
                <w:rFonts w:ascii="Verdana" w:hAnsi="Verdana" w:eastAsia="Times New Roman" w:cs="Arial"/>
                <w:bCs/>
                <w:lang w:eastAsia="ru-RU"/>
              </w:rPr>
              <w:t xml:space="preserve">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</w:tr>
    </w:tbl>
    <w:p>
      <w:pPr>
        <w:ind w:left="-36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6"/>
          <w:szCs w:val="16"/>
          <w:lang w:val="en-US" w:eastAsia="ru-RU"/>
        </w:rPr>
      </w:pPr>
      <w:r>
        <w:rPr>
          <w:rFonts w:ascii="Times New Roman" w:hAnsi="Times New Roman" w:eastAsia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32"/>
          <w:szCs w:val="32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b/>
          <w:sz w:val="16"/>
          <w:szCs w:val="16"/>
          <w:lang w:val="en-US" w:eastAsia="ru-RU"/>
        </w:rPr>
      </w:r>
    </w:p>
    <w:p>
      <w:pPr>
        <w:ind w:left="-36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32"/>
          <w:szCs w:val="32"/>
          <w:lang w:val="en-US" w:eastAsia="zh-CN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ab/>
        <w:t xml:space="preserve">КАРАР</w:t>
      </w:r>
      <w:r>
        <w:rPr>
          <w:rFonts w:ascii="Times New Roman" w:hAnsi="Times New Roman" w:eastAsia="Times New Roman" w:cs="Times New Roman"/>
          <w:b/>
          <w:sz w:val="32"/>
          <w:szCs w:val="32"/>
          <w:lang w:val="en-US" w:eastAsia="zh-CN"/>
        </w:rPr>
      </w:r>
    </w:p>
    <w:p>
      <w:pPr>
        <w:ind w:left="-360"/>
        <w:jc w:val="center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val="en-US"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val="en-US"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val="en-US" w:eastAsia="ru-RU"/>
        </w:rPr>
      </w:r>
    </w:p>
    <w:p>
      <w:pPr>
        <w:ind w:left="-36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«____»____________20__ 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№______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right="-1"/>
        <w:jc w:val="both"/>
        <w:spacing w:after="0" w:line="240" w:lineRule="auto"/>
        <w:tabs>
          <w:tab w:val="left" w:pos="581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дополнительных мерах </w:t>
      </w:r>
      <w:r>
        <w:rPr>
          <w:rFonts w:ascii="Times New Roman" w:hAnsi="Times New Roman" w:cs="Times New Roman"/>
          <w:sz w:val="28"/>
          <w:szCs w:val="28"/>
        </w:rPr>
        <w:t xml:space="preserve">социальной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/>
        <w:jc w:val="both"/>
        <w:spacing w:after="0" w:line="240" w:lineRule="auto"/>
        <w:tabs>
          <w:tab w:val="left" w:pos="581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поддержки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/>
        <w:jc w:val="both"/>
        <w:spacing w:after="0" w:line="240" w:lineRule="auto"/>
        <w:tabs>
          <w:tab w:val="left" w:pos="581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/>
        <w:jc w:val="both"/>
        <w:spacing w:after="0" w:line="240" w:lineRule="auto"/>
        <w:tabs>
          <w:tab w:val="left" w:pos="581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дошкольных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/>
        <w:jc w:val="both"/>
        <w:spacing w:after="0" w:line="240" w:lineRule="auto"/>
        <w:tabs>
          <w:tab w:val="left" w:pos="581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/>
        <w:jc w:val="both"/>
        <w:spacing w:after="0" w:line="240" w:lineRule="auto"/>
        <w:tabs>
          <w:tab w:val="left" w:pos="581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дополнительных мер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в муниципальных общеобразовательных организациях и воспитанникам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дошкольн</w:t>
      </w:r>
      <w:r>
        <w:rPr>
          <w:rFonts w:ascii="Times New Roman" w:hAnsi="Times New Roman" w:cs="Times New Roman"/>
          <w:sz w:val="28"/>
          <w:szCs w:val="28"/>
        </w:rPr>
        <w:t xml:space="preserve">ых образовательных учреждений 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273-ФЗ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Федерации», статьей </w:t>
      </w:r>
      <w:r>
        <w:rPr>
          <w:rFonts w:ascii="Times New Roman" w:hAnsi="Times New Roman" w:cs="Times New Roman"/>
          <w:sz w:val="28"/>
          <w:szCs w:val="28"/>
        </w:rPr>
        <w:t xml:space="preserve">85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, Решением 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05.12.2024 года № 67 «О бюджете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2025 год и на плановый период 2026 и 2027 годов»,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Установить двухразовое бесплатное горячее </w:t>
      </w:r>
      <w:r>
        <w:rPr>
          <w:rFonts w:ascii="Times New Roman" w:hAnsi="Times New Roman" w:cs="Times New Roman"/>
          <w:sz w:val="28"/>
          <w:szCs w:val="28"/>
        </w:rPr>
        <w:t xml:space="preserve">питание</w:t>
      </w:r>
      <w:r>
        <w:rPr>
          <w:rFonts w:ascii="Times New Roman" w:hAnsi="Times New Roman" w:cs="Times New Roman"/>
          <w:sz w:val="28"/>
          <w:szCs w:val="28"/>
        </w:rPr>
        <w:t xml:space="preserve"> для следующих категорий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дл</w:t>
      </w:r>
      <w:r>
        <w:rPr>
          <w:rFonts w:ascii="Times New Roman" w:hAnsi="Times New Roman" w:cs="Times New Roman"/>
          <w:sz w:val="28"/>
          <w:szCs w:val="28"/>
        </w:rPr>
        <w:t xml:space="preserve">я детей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граждански</w:t>
      </w:r>
      <w:r>
        <w:rPr>
          <w:rFonts w:ascii="Times New Roman" w:hAnsi="Times New Roman" w:cs="Times New Roman"/>
          <w:sz w:val="28"/>
          <w:szCs w:val="28"/>
        </w:rPr>
        <w:t xml:space="preserve">х служащих 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району,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размер субсидии</w:t>
      </w:r>
      <w:r>
        <w:rPr>
          <w:rFonts w:ascii="Times New Roman" w:hAnsi="Times New Roman" w:cs="Times New Roman"/>
          <w:sz w:val="28"/>
          <w:szCs w:val="28"/>
        </w:rPr>
        <w:t xml:space="preserve"> на питание</w:t>
      </w:r>
      <w:r>
        <w:rPr>
          <w:rFonts w:ascii="Times New Roman" w:hAnsi="Times New Roman" w:cs="Times New Roman"/>
          <w:sz w:val="28"/>
          <w:szCs w:val="28"/>
        </w:rPr>
        <w:t xml:space="preserve"> на одного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 для 5-11 классов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64,47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ублей</w:t>
      </w:r>
      <w:r>
        <w:rPr>
          <w:rFonts w:ascii="Times New Roman" w:hAnsi="Times New Roman" w:cs="Times New Roman"/>
          <w:sz w:val="28"/>
          <w:szCs w:val="28"/>
        </w:rPr>
        <w:t xml:space="preserve"> в день; </w:t>
      </w:r>
      <w:r>
        <w:rPr>
          <w:rFonts w:ascii="Times New Roman" w:hAnsi="Times New Roman" w:cs="Times New Roman"/>
          <w:sz w:val="28"/>
          <w:szCs w:val="28"/>
        </w:rPr>
        <w:t xml:space="preserve">размер субсидии</w:t>
      </w:r>
      <w:r>
        <w:rPr>
          <w:rFonts w:ascii="Times New Roman" w:hAnsi="Times New Roman" w:cs="Times New Roman"/>
          <w:sz w:val="28"/>
          <w:szCs w:val="28"/>
        </w:rPr>
        <w:t xml:space="preserve"> на питание на одного обучающегося с 5-11 классы, в учреждениях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имеющие статус «лицей»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63,00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рубля в день).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Освободить от оплаты за присмотр и уход за детьми, посещающими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дошкольные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реализующие основную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программу дошкольного образования (детские сады):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ро</w:t>
      </w:r>
      <w:r>
        <w:rPr>
          <w:rFonts w:ascii="Times New Roman" w:hAnsi="Times New Roman" w:cs="Times New Roman"/>
          <w:sz w:val="28"/>
          <w:szCs w:val="28"/>
        </w:rPr>
        <w:t xml:space="preserve">дителей детей сотрудников 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Пестречинскому району</w:t>
      </w:r>
      <w:r>
        <w:rPr>
          <w:rFonts w:ascii="Times New Roman" w:hAnsi="Times New Roman" w:cs="Times New Roman"/>
          <w:sz w:val="28"/>
          <w:szCs w:val="28"/>
        </w:rPr>
        <w:t xml:space="preserve">, федеральных государственных граждански</w:t>
      </w:r>
      <w:r>
        <w:rPr>
          <w:rFonts w:ascii="Times New Roman" w:hAnsi="Times New Roman" w:cs="Times New Roman"/>
          <w:sz w:val="28"/>
          <w:szCs w:val="28"/>
        </w:rPr>
        <w:t xml:space="preserve">х служащих 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МВД </w:t>
      </w:r>
      <w:r>
        <w:rPr>
          <w:rFonts w:ascii="Times New Roman" w:hAnsi="Times New Roman" w:cs="Times New Roman"/>
          <w:sz w:val="28"/>
          <w:szCs w:val="28"/>
        </w:rPr>
        <w:t xml:space="preserve">России по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району, работников 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Утвердить: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</w:t>
      </w:r>
      <w:r>
        <w:rPr>
          <w:rFonts w:ascii="Times New Roman" w:hAnsi="Times New Roman" w:cs="Times New Roman"/>
          <w:sz w:val="28"/>
          <w:szCs w:val="28"/>
        </w:rPr>
        <w:t xml:space="preserve">оложение о порядке предоставления мер дополнительной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поддержки </w:t>
      </w:r>
      <w:r>
        <w:rPr>
          <w:rFonts w:ascii="Times New Roman" w:hAnsi="Times New Roman" w:cs="Times New Roman"/>
          <w:sz w:val="28"/>
          <w:szCs w:val="28"/>
        </w:rPr>
        <w:t xml:space="preserve">обучающимся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общеоб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     № 1)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</w:t>
      </w:r>
      <w:r>
        <w:rPr>
          <w:rFonts w:ascii="Times New Roman" w:hAnsi="Times New Roman" w:cs="Times New Roman"/>
          <w:sz w:val="28"/>
          <w:szCs w:val="28"/>
        </w:rPr>
        <w:t xml:space="preserve">оложение о порядке предоставления мер дополнительной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поддержки воспитанникам муниципальных дошкольных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атарстан (Приложение № 2)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Финансово-бюджетной палате обеспечить финансирование расходов, указанных в пунктах 1-2 настоящего постановления, за счет дополнительно выделенных средств в установленном порядке.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МБУ «Отдел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обеспечит</w:t>
      </w:r>
      <w:r>
        <w:rPr>
          <w:rFonts w:ascii="Times New Roman" w:hAnsi="Times New Roman" w:cs="Times New Roman"/>
          <w:sz w:val="28"/>
          <w:szCs w:val="28"/>
        </w:rPr>
        <w:t xml:space="preserve">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направление информации об организации питания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использования Единой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централизованной цифровой платформы в социальной сфере (далее - ЕЦП) в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объеме, установленными Правительством Российской Федерации, и в соответствиис форматами, установленными оператором ЕЦП;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получение информации посредством использования ЕЦП в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объеме, установленными Правительством Российской Федерации, 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форматами, установленными оператором ЕЦП.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 Действие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распространяется </w:t>
      </w:r>
      <w:r>
        <w:rPr>
          <w:rFonts w:ascii="Times New Roman" w:hAnsi="Times New Roman" w:cs="Times New Roman"/>
          <w:sz w:val="28"/>
          <w:szCs w:val="28"/>
        </w:rPr>
        <w:t xml:space="preserve">на правоотношения,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возникшие с 01.01.2025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01.07.2025 года № 376-п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постановление путем размещения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Интернет: http://</w:t>
      </w:r>
      <w:r>
        <w:rPr>
          <w:rFonts w:ascii="Times New Roman" w:hAnsi="Times New Roman" w:cs="Times New Roman"/>
          <w:sz w:val="28"/>
          <w:szCs w:val="28"/>
        </w:rPr>
        <w:t xml:space="preserve">www.pestreci.tatarstan.ru и на «</w:t>
      </w:r>
      <w:r>
        <w:rPr>
          <w:rFonts w:ascii="Times New Roman" w:hAnsi="Times New Roman" w:cs="Times New Roman"/>
          <w:sz w:val="28"/>
          <w:szCs w:val="28"/>
        </w:rPr>
        <w:t xml:space="preserve">Официальном портале правовой инф</w:t>
      </w:r>
      <w:r>
        <w:rPr>
          <w:rFonts w:ascii="Times New Roman" w:hAnsi="Times New Roman" w:cs="Times New Roman"/>
          <w:sz w:val="28"/>
          <w:szCs w:val="28"/>
        </w:rPr>
        <w:t xml:space="preserve">ормации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Интернет: http://pravo.tatarstan.ru.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на заместителя р</w:t>
      </w:r>
      <w:r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Харитонову М.А.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И.Р. </w:t>
      </w:r>
      <w:r>
        <w:rPr>
          <w:rFonts w:ascii="Times New Roman" w:hAnsi="Times New Roman" w:cs="Times New Roman"/>
          <w:sz w:val="28"/>
          <w:szCs w:val="28"/>
        </w:rPr>
        <w:t xml:space="preserve">Давлетханов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379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6379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</w:p>
    <w:p>
      <w:pPr>
        <w:ind w:firstLine="637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</w:t>
      </w:r>
      <w:r>
        <w:rPr>
          <w:rFonts w:ascii="Times New Roman" w:hAnsi="Times New Roman" w:cs="Times New Roman"/>
        </w:rPr>
      </w:r>
    </w:p>
    <w:p>
      <w:pPr>
        <w:ind w:firstLine="637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</w:t>
      </w:r>
      <w:r>
        <w:rPr>
          <w:rFonts w:ascii="Times New Roman" w:hAnsi="Times New Roman" w:cs="Times New Roman"/>
        </w:rPr>
      </w:r>
    </w:p>
    <w:p>
      <w:pPr>
        <w:ind w:firstLine="637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Исполнительного комитета</w:t>
      </w:r>
      <w:r>
        <w:rPr>
          <w:rFonts w:ascii="Times New Roman" w:hAnsi="Times New Roman" w:cs="Times New Roman"/>
        </w:rPr>
      </w:r>
    </w:p>
    <w:p>
      <w:pPr>
        <w:ind w:firstLine="637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Пестречинского</w:t>
      </w:r>
      <w:r>
        <w:rPr>
          <w:rFonts w:ascii="Times New Roman" w:hAnsi="Times New Roman" w:cs="Times New Roman"/>
        </w:rPr>
        <w:t xml:space="preserve"> муниципального </w:t>
      </w:r>
      <w:r>
        <w:rPr>
          <w:rFonts w:ascii="Times New Roman" w:hAnsi="Times New Roman" w:cs="Times New Roman"/>
        </w:rPr>
      </w:r>
    </w:p>
    <w:p>
      <w:pPr>
        <w:ind w:firstLine="637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района Республики Татарстан </w:t>
      </w:r>
      <w:r>
        <w:rPr>
          <w:rFonts w:ascii="Times New Roman" w:hAnsi="Times New Roman" w:cs="Times New Roman"/>
        </w:rPr>
      </w:r>
    </w:p>
    <w:p>
      <w:pPr>
        <w:ind w:firstLine="637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__.__.2025 г. № ___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предоставления мер дополнительной социальной поддержки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обучающимся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организациях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Общие положения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предоставления мер дополнительной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поддержки обучающимся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общеоб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 - обучающиеся) разработано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29.12.2012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Федерации», статьей 85 Устава района,</w:t>
      </w:r>
      <w:r>
        <w:rPr>
          <w:rFonts w:ascii="Times New Roman" w:hAnsi="Times New Roman" w:cs="Times New Roman"/>
          <w:sz w:val="28"/>
          <w:szCs w:val="28"/>
        </w:rPr>
        <w:t xml:space="preserve"> 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05.12.2024 года № 67 «О бюджете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и на плановый период 2026 и 2027 годов», </w:t>
      </w:r>
      <w:r>
        <w:rPr>
          <w:rFonts w:ascii="Times New Roman" w:hAnsi="Times New Roman" w:cs="Times New Roman"/>
          <w:sz w:val="28"/>
          <w:szCs w:val="28"/>
        </w:rPr>
        <w:t xml:space="preserve">и устанавливает порядок предоставления мер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поддержки в виде организации бесплатно</w:t>
      </w:r>
      <w:r>
        <w:rPr>
          <w:rFonts w:ascii="Times New Roman" w:hAnsi="Times New Roman" w:cs="Times New Roman"/>
          <w:sz w:val="28"/>
          <w:szCs w:val="28"/>
        </w:rPr>
        <w:t xml:space="preserve">го питания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 муниципальных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Двухразовое бесплатное горячее питание предоставляется: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для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граждански</w:t>
      </w:r>
      <w:r>
        <w:rPr>
          <w:rFonts w:ascii="Times New Roman" w:hAnsi="Times New Roman" w:cs="Times New Roman"/>
          <w:sz w:val="28"/>
          <w:szCs w:val="28"/>
        </w:rPr>
        <w:t xml:space="preserve">х служащих</w:t>
      </w:r>
      <w:r>
        <w:rPr>
          <w:rFonts w:ascii="Times New Roman" w:hAnsi="Times New Roman" w:cs="Times New Roman"/>
          <w:sz w:val="28"/>
          <w:szCs w:val="28"/>
        </w:rPr>
        <w:t xml:space="preserve"> ОМВД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работников Отдела 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Замена бесплатного двухразового питания денежной компенсацией стоимостью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двухразового питания обеспечивается для обучающихся на дому по специальным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медицинским показаниям (для детей-инвалидов, для детей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Организация питания в муниципальной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Для организации питания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муниципальной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создается комиссия по организации питания, состав которой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директора общеобразовательной организации (далее – комиссия).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включается представитель общешкольного родительского комитета. Один из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за организацию питания обучающихся. 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 членов комиссии составляет не менее пяти человек.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Комиссия ежемесячно утверждает списки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до 15 числа 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месяца на следующий месяц.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Директор общеобразовательной организации обеспечивает: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горячего питания обучающихся в соответствии с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и целевое использование бюджетных средств, учет фактического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количества обучающихся, получающих бесплатное горячее питание;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организацию предоставления компенсации стоимости двухразового питания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денежном эквиваленте для детей-инвалидов и детей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 обучающихся на дому;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организацию работы по приему документов от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Прием заявлений о предоставлении бесплатного горячего питания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почту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или лично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по месту обучения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Бесплатное питан</w:t>
      </w:r>
      <w:r>
        <w:rPr>
          <w:rFonts w:ascii="Times New Roman" w:hAnsi="Times New Roman" w:cs="Times New Roman"/>
          <w:sz w:val="28"/>
          <w:szCs w:val="28"/>
        </w:rPr>
        <w:t xml:space="preserve">ие предоставляется на основании справки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 работы сотрудника, федерального государственного гражданского служащего,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внутренних де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Ответственный за организацию питания обучающихся обеспечивает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обучающегося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</w:t>
      </w:r>
      <w:r>
        <w:rPr>
          <w:rFonts w:ascii="Times New Roman" w:hAnsi="Times New Roman" w:cs="Times New Roman"/>
          <w:sz w:val="28"/>
          <w:szCs w:val="28"/>
        </w:rPr>
        <w:t xml:space="preserve">по заполнению личного дела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государственной информационной системе «Электронное образование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Татарстан»,</w:t>
      </w:r>
      <w:r>
        <w:rPr>
          <w:rFonts w:ascii="Times New Roman" w:hAnsi="Times New Roman" w:cs="Times New Roman"/>
          <w:sz w:val="28"/>
          <w:szCs w:val="28"/>
        </w:rPr>
        <w:t xml:space="preserve"> внося необходимые данные для </w:t>
      </w:r>
      <w:r>
        <w:rPr>
          <w:rFonts w:ascii="Times New Roman" w:hAnsi="Times New Roman" w:cs="Times New Roman"/>
          <w:sz w:val="28"/>
          <w:szCs w:val="28"/>
        </w:rPr>
        <w:t xml:space="preserve">включения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 в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изготовление карты школьника (фамилия, имя, отчество, дата рождения, пол, 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свидетельства о рождении (страна выдачи, субъект РФ, серия, номер </w:t>
      </w:r>
      <w:r>
        <w:rPr>
          <w:rFonts w:ascii="Times New Roman" w:hAnsi="Times New Roman" w:cs="Times New Roman"/>
          <w:sz w:val="28"/>
          <w:szCs w:val="28"/>
        </w:rPr>
        <w:t xml:space="preserve">и дата выдачи), паспорта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наличии), фотография, выделенный фрагмент «Фото на карту» или контур при отказе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фотографирования).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Для предоставления льготы родителям (законным представителям) - сотрудникам,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гражданским служащим, работникам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 xml:space="preserve">необходимо каждые шесть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обновлять копии документов, подтверждающих льготу.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6946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637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2</w:t>
      </w:r>
      <w:r>
        <w:rPr>
          <w:rFonts w:ascii="Times New Roman" w:hAnsi="Times New Roman" w:cs="Times New Roman"/>
        </w:rPr>
      </w:r>
    </w:p>
    <w:p>
      <w:pPr>
        <w:ind w:firstLine="637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</w:t>
      </w:r>
      <w:r>
        <w:rPr>
          <w:rFonts w:ascii="Times New Roman" w:hAnsi="Times New Roman" w:cs="Times New Roman"/>
        </w:rPr>
      </w:r>
    </w:p>
    <w:p>
      <w:pPr>
        <w:ind w:firstLine="637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Исполнительного комитета</w:t>
      </w:r>
      <w:r>
        <w:rPr>
          <w:rFonts w:ascii="Times New Roman" w:hAnsi="Times New Roman" w:cs="Times New Roman"/>
        </w:rPr>
      </w:r>
    </w:p>
    <w:p>
      <w:pPr>
        <w:ind w:firstLine="637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Пестречинского</w:t>
      </w:r>
      <w:r>
        <w:rPr>
          <w:rFonts w:ascii="Times New Roman" w:hAnsi="Times New Roman" w:cs="Times New Roman"/>
        </w:rPr>
        <w:t xml:space="preserve"> муниципального </w:t>
      </w:r>
      <w:r>
        <w:rPr>
          <w:rFonts w:ascii="Times New Roman" w:hAnsi="Times New Roman" w:cs="Times New Roman"/>
        </w:rPr>
      </w:r>
    </w:p>
    <w:p>
      <w:pPr>
        <w:ind w:firstLine="637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района Республики Татарстан </w:t>
      </w:r>
      <w:r>
        <w:rPr>
          <w:rFonts w:ascii="Times New Roman" w:hAnsi="Times New Roman" w:cs="Times New Roman"/>
        </w:rPr>
      </w:r>
    </w:p>
    <w:p>
      <w:pPr>
        <w:ind w:firstLine="637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__.__.2025 г. № ___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предоставления мер дополнительной социальной поддержки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воспитанникам муниципальных дошкольных образовательных учреждений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Пестречинского муниципальн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предоставления мер дополнительной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поддержки воспитанникам муниципальных дошкольных 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29.12.2012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статьей 85 Устава района, </w:t>
      </w:r>
      <w:r>
        <w:rPr>
          <w:rFonts w:ascii="Times New Roman" w:hAnsi="Times New Roman" w:cs="Times New Roman"/>
          <w:sz w:val="28"/>
          <w:szCs w:val="28"/>
        </w:rPr>
        <w:t xml:space="preserve">Решением 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05.12.2024 года № 67 «О бюджете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2025 год и на плановый</w:t>
      </w:r>
      <w:r>
        <w:rPr>
          <w:rFonts w:ascii="Times New Roman" w:hAnsi="Times New Roman" w:cs="Times New Roman"/>
          <w:sz w:val="28"/>
          <w:szCs w:val="28"/>
        </w:rPr>
        <w:t xml:space="preserve"> период 2026 и 2027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мер социальной поддержки в виде освобождения от оплаты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присмотр и уход </w:t>
      </w:r>
      <w:r>
        <w:rPr>
          <w:rFonts w:ascii="Times New Roman" w:hAnsi="Times New Roman" w:cs="Times New Roman"/>
          <w:sz w:val="28"/>
          <w:szCs w:val="28"/>
        </w:rPr>
        <w:t xml:space="preserve">за детьми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воспитанниками муниципальных дошкольных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Меры дополнительной социальной поддержки в виде освобождения от оплаты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присмотр и уход за детьми - воспитанниками муниципальных дошкольных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уч</w:t>
      </w:r>
      <w:r>
        <w:rPr>
          <w:rFonts w:ascii="Times New Roman" w:hAnsi="Times New Roman" w:cs="Times New Roman"/>
          <w:sz w:val="28"/>
          <w:szCs w:val="28"/>
        </w:rPr>
        <w:t xml:space="preserve">реждений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атарстан, предоставляются </w:t>
      </w:r>
      <w:r>
        <w:rPr>
          <w:rFonts w:ascii="Times New Roman" w:hAnsi="Times New Roman" w:cs="Times New Roman"/>
          <w:sz w:val="28"/>
          <w:szCs w:val="28"/>
        </w:rPr>
        <w:t xml:space="preserve">родителям детей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сотр</w:t>
      </w:r>
      <w:r>
        <w:rPr>
          <w:rFonts w:ascii="Times New Roman" w:hAnsi="Times New Roman" w:cs="Times New Roman"/>
          <w:sz w:val="28"/>
          <w:szCs w:val="28"/>
        </w:rPr>
        <w:t xml:space="preserve">удникам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Пестречинскому району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граждански</w:t>
      </w:r>
      <w:r>
        <w:rPr>
          <w:rFonts w:ascii="Times New Roman" w:hAnsi="Times New Roman" w:cs="Times New Roman"/>
          <w:sz w:val="28"/>
          <w:szCs w:val="28"/>
        </w:rPr>
        <w:t xml:space="preserve">м служащим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Пестречинскому району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Руководитель муниципальной дошкольной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присмотр и уход за детьми, указанными в пункте 2 настоящего положения;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работы по приему документов от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Прием заявлений об освобождении от оплаты за присмотр и уход за ребенком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почту муниципального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) или лично в муниципальном дошкольном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Освобождение от оплаты за присмотр и уход за детьми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места работы сотрудника, федерального государственного гражданского служащего,</w:t>
      </w:r>
      <w:r>
        <w:rPr>
          <w:rFonts w:ascii="Times New Roman" w:hAnsi="Times New Roman" w:cs="Times New Roman"/>
          <w:sz w:val="28"/>
          <w:szCs w:val="28"/>
        </w:rPr>
        <w:t xml:space="preserve"> работника 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Для предоставления льготы родителям (законным представителям)</w:t>
      </w:r>
      <w:r>
        <w:rPr>
          <w:rFonts w:ascii="Times New Roman" w:hAnsi="Times New Roman" w:cs="Times New Roman"/>
          <w:sz w:val="28"/>
          <w:szCs w:val="28"/>
        </w:rPr>
        <w:t xml:space="preserve"> - сотрудникам 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гражданских служащих 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району, работников 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 xml:space="preserve">необходимо каждые </w:t>
      </w:r>
      <w:r>
        <w:rPr>
          <w:rFonts w:ascii="Times New Roman" w:hAnsi="Times New Roman" w:cs="Times New Roman"/>
          <w:sz w:val="28"/>
          <w:szCs w:val="28"/>
        </w:rPr>
        <w:t xml:space="preserve">шесть месяцев </w:t>
      </w:r>
      <w:r>
        <w:rPr>
          <w:rFonts w:ascii="Times New Roman" w:hAnsi="Times New Roman" w:cs="Times New Roman"/>
          <w:sz w:val="28"/>
          <w:szCs w:val="28"/>
        </w:rPr>
        <w:t xml:space="preserve">обновлять копии документов, подтверждающих </w:t>
      </w:r>
      <w:r>
        <w:rPr>
          <w:rFonts w:ascii="Times New Roman" w:hAnsi="Times New Roman" w:cs="Times New Roman"/>
          <w:sz w:val="28"/>
          <w:szCs w:val="28"/>
        </w:rPr>
        <w:t xml:space="preserve">льготу.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39"/>
    <w:uiPriority w:val="10"/>
    <w:rPr>
      <w:sz w:val="48"/>
      <w:szCs w:val="48"/>
    </w:rPr>
  </w:style>
  <w:style w:type="character" w:styleId="37">
    <w:name w:val="Subtitle Char"/>
    <w:basedOn w:val="627"/>
    <w:link w:val="641"/>
    <w:uiPriority w:val="11"/>
    <w:rPr>
      <w:sz w:val="24"/>
      <w:szCs w:val="24"/>
    </w:rPr>
  </w:style>
  <w:style w:type="character" w:styleId="39">
    <w:name w:val="Quote Char"/>
    <w:link w:val="643"/>
    <w:uiPriority w:val="29"/>
    <w:rPr>
      <w:i/>
    </w:rPr>
  </w:style>
  <w:style w:type="character" w:styleId="41">
    <w:name w:val="Intense Quote Char"/>
    <w:link w:val="647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3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19">
    <w:name w:val="Heading 2"/>
    <w:basedOn w:val="617"/>
    <w:next w:val="617"/>
    <w:link w:val="63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1 Знак"/>
    <w:basedOn w:val="627"/>
    <w:link w:val="618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1" w:customStyle="1">
    <w:name w:val="Заголовок 2 Знак"/>
    <w:basedOn w:val="627"/>
    <w:link w:val="619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2" w:customStyle="1">
    <w:name w:val="Заголовок 3 Знак"/>
    <w:basedOn w:val="627"/>
    <w:link w:val="620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3" w:customStyle="1">
    <w:name w:val="Заголовок 4 Знак"/>
    <w:basedOn w:val="627"/>
    <w:link w:val="621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4" w:customStyle="1">
    <w:name w:val="Заголовок 5 Знак"/>
    <w:basedOn w:val="627"/>
    <w:link w:val="622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5" w:customStyle="1">
    <w:name w:val="Заголовок 6 Знак"/>
    <w:basedOn w:val="627"/>
    <w:link w:val="6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6" w:customStyle="1">
    <w:name w:val="Заголовок 7 Знак"/>
    <w:basedOn w:val="627"/>
    <w:link w:val="624"/>
    <w:uiPriority w:val="9"/>
    <w:semiHidden/>
    <w:rPr>
      <w:rFonts w:eastAsiaTheme="majorEastAsia" w:cstheme="majorBidi"/>
      <w:color w:val="595959" w:themeColor="text1" w:themeTint="A6"/>
    </w:rPr>
  </w:style>
  <w:style w:type="character" w:styleId="637" w:customStyle="1">
    <w:name w:val="Заголовок 8 Знак"/>
    <w:basedOn w:val="627"/>
    <w:link w:val="6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8" w:customStyle="1">
    <w:name w:val="Заголовок 9 Знак"/>
    <w:basedOn w:val="627"/>
    <w:link w:val="626"/>
    <w:uiPriority w:val="9"/>
    <w:semiHidden/>
    <w:rPr>
      <w:rFonts w:eastAsiaTheme="majorEastAsia" w:cstheme="majorBidi"/>
      <w:color w:val="272727" w:themeColor="text1" w:themeTint="D8"/>
    </w:rPr>
  </w:style>
  <w:style w:type="paragraph" w:styleId="639">
    <w:name w:val="Title"/>
    <w:basedOn w:val="617"/>
    <w:next w:val="617"/>
    <w:link w:val="6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0" w:customStyle="1">
    <w:name w:val="Название Знак"/>
    <w:basedOn w:val="627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2" w:customStyle="1">
    <w:name w:val="Подзаголовок Знак"/>
    <w:basedOn w:val="627"/>
    <w:link w:val="6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4" w:customStyle="1">
    <w:name w:val="Цитата 2 Знак"/>
    <w:basedOn w:val="627"/>
    <w:link w:val="643"/>
    <w:uiPriority w:val="29"/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contextualSpacing/>
      <w:ind w:left="720"/>
    </w:pPr>
  </w:style>
  <w:style w:type="character" w:styleId="646">
    <w:name w:val="Intense Emphasis"/>
    <w:basedOn w:val="627"/>
    <w:uiPriority w:val="21"/>
    <w:qFormat/>
    <w:rPr>
      <w:i/>
      <w:iCs/>
      <w:color w:val="0f4761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48" w:customStyle="1">
    <w:name w:val="Выделенная цитата Знак"/>
    <w:basedOn w:val="627"/>
    <w:link w:val="647"/>
    <w:uiPriority w:val="30"/>
    <w:rPr>
      <w:i/>
      <w:iCs/>
      <w:color w:val="0f4761" w:themeColor="accent1" w:themeShade="BF"/>
    </w:rPr>
  </w:style>
  <w:style w:type="character" w:styleId="649">
    <w:name w:val="Intense Reference"/>
    <w:basedOn w:val="627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650">
    <w:name w:val="Balloon Text"/>
    <w:basedOn w:val="617"/>
    <w:link w:val="65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1" w:customStyle="1">
    <w:name w:val="Текст выноски Знак"/>
    <w:basedOn w:val="627"/>
    <w:link w:val="65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EF3F-A656-4FDF-91A4-355D22E4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ICL</cp:lastModifiedBy>
  <cp:revision>21</cp:revision>
  <dcterms:created xsi:type="dcterms:W3CDTF">2025-06-17T06:08:00Z</dcterms:created>
  <dcterms:modified xsi:type="dcterms:W3CDTF">2025-10-01T12:37:19Z</dcterms:modified>
</cp:coreProperties>
</file>