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Кулаевского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Кулаевского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№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Кулаевского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17.03.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Кулаевского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Кулаевского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17.03.</w:t>
      </w:r>
      <w:r>
        <w:rPr>
          <w:rFonts w:ascii="Times New Roman" w:hAnsi="Times New Roman" w:eastAsia="Times New Roman"/>
          <w:sz w:val="28"/>
          <w:szCs w:val="28"/>
        </w:rPr>
        <w:t xml:space="preserve">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31.10.2022г.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19</w:t>
      </w:r>
      <w:r>
        <w:rPr>
          <w:rFonts w:ascii="Times New Roman" w:hAnsi="Times New Roman" w:eastAsia="Times New Roman"/>
          <w:sz w:val="28"/>
          <w:szCs w:val="28"/>
        </w:rPr>
        <w:t xml:space="preserve">,от 16.06.2023г. №28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Кулаевского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Н.В.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Поповская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DEEA-5627-4E7F-9F0B-039561AF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2025-11-10T11:13:00Z</dcterms:created>
  <dcterms:modified xsi:type="dcterms:W3CDTF">2025-11-21T11:44:14Z</dcterms:modified>
</cp:coreProperties>
</file>