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Пановского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Пановского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________2025 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 № 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1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ановление Исполнительного комитета Пановского сельского поселения Пестречинского муниципального района Республики Татарстан от 17.03.2022 года № 6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 октября 2003 года № 131-ФЗ «Об организации местного самоуправления в Российской Федерац</w:t>
      </w:r>
      <w:r>
        <w:rPr>
          <w:rFonts w:ascii="Times New Roman" w:hAnsi="Times New Roman" w:eastAsia="Times New Roman"/>
          <w:sz w:val="28"/>
          <w:szCs w:val="28"/>
        </w:rPr>
        <w:t xml:space="preserve">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Пановского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Пановского сельского поселения Пестречинского муниципального района Республики </w:t>
      </w:r>
      <w:r>
        <w:rPr>
          <w:rFonts w:ascii="Times New Roman" w:hAnsi="Times New Roman" w:eastAsia="Times New Roman"/>
          <w:sz w:val="28"/>
          <w:szCs w:val="28"/>
        </w:rPr>
        <w:t xml:space="preserve">Татарстан от 17.03.2022 года № 6 «Об утверждении административного регламента предоставления муниципальной услуги по выдаче справки (выписки)» (с изменениями, утвержденными постановлениями исполнительного комитета от 31.10.2022г. № 16)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6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«6)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представителя на обработку персональных данных такого лица в указанных целях не требуется.».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Пановского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                                            О.И. Козырев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0" w:name="_GoBack"/>
      <w:r/>
      <w:bookmarkEnd w:id="0"/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headerReference w:type="first" r:id="rId9"/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Таблица простая 11"/>
    <w:basedOn w:val="70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Заголовок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2BA9-1D3C-4191-9E03-9B99D811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3</cp:revision>
  <dcterms:created xsi:type="dcterms:W3CDTF">2025-11-12T07:02:00Z</dcterms:created>
  <dcterms:modified xsi:type="dcterms:W3CDTF">2025-11-21T11:35:59Z</dcterms:modified>
</cp:coreProperties>
</file>