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jc w:val="right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Четвертое 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пятого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 ______ 2025 года                                                                                              №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>
        <w:rPr>
          <w:sz w:val="28"/>
          <w:szCs w:val="28"/>
        </w:rPr>
        <w:t xml:space="preserve">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Кабинета Министров Республики Татарстан от 14 апреля 2025 года № 228 «</w:t>
      </w:r>
      <w:r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</w:t>
      </w:r>
      <w:r>
        <w:rPr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</w:t>
      </w:r>
      <w:r>
        <w:rPr>
          <w:sz w:val="28"/>
          <w:szCs w:val="28"/>
        </w:rPr>
        <w:t xml:space="preserve">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>
        <w:rPr>
          <w:sz w:val="28"/>
          <w:szCs w:val="28"/>
        </w:rPr>
        <w:t xml:space="preserve"> 30 марта 2022 года № 152, от  </w:t>
      </w:r>
      <w:r>
        <w:rPr>
          <w:sz w:val="28"/>
          <w:szCs w:val="28"/>
        </w:rPr>
        <w:t xml:space="preserve">8 сентября 2022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187</w:t>
      </w:r>
      <w:r>
        <w:rPr>
          <w:sz w:val="28"/>
          <w:szCs w:val="28"/>
        </w:rPr>
        <w:t xml:space="preserve">,          от 27 октября 2022 года № 190, от 29 декабря 2022 года № 210, от 18 мая 2023 года     № </w:t>
      </w:r>
      <w:r>
        <w:rPr>
          <w:sz w:val="28"/>
          <w:szCs w:val="28"/>
        </w:rPr>
        <w:t xml:space="preserve">244, от 2</w:t>
      </w:r>
      <w:r>
        <w:rPr>
          <w:sz w:val="28"/>
          <w:szCs w:val="28"/>
        </w:rPr>
        <w:t xml:space="preserve">2 мая 2024 года № 320, от 15 октября </w:t>
      </w:r>
      <w:r>
        <w:rPr>
          <w:sz w:val="28"/>
          <w:szCs w:val="28"/>
        </w:rPr>
        <w:t xml:space="preserve">2024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352, от 22 мая 2025 года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400) (далее</w:t>
      </w:r>
      <w:r>
        <w:rPr>
          <w:sz w:val="28"/>
          <w:szCs w:val="28"/>
        </w:rPr>
        <w:t xml:space="preserve"> – Решение)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В подпункте 1.2 цифры «15 389» заменить цифрами «16 928»;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Приложение № 1 к Решению изложить в новой редакции (прилагается к настоящему решению)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pStyle w:val="686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января 2026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Р.А. Сулейманов</w:t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>
        <w:t xml:space="preserve">Приложение</w:t>
      </w:r>
      <w:r>
        <w:t xml:space="preserve"> к решению Совета Пестречинского муниципального района </w:t>
      </w:r>
      <w:r/>
    </w:p>
    <w:p>
      <w:pPr>
        <w:ind w:left="5670" w:firstLine="2"/>
      </w:pPr>
      <w:r>
        <w:t xml:space="preserve">от</w:t>
      </w:r>
      <w:r>
        <w:t xml:space="preserve"> __.___.</w:t>
      </w:r>
      <w:r>
        <w:t xml:space="preserve">202</w:t>
      </w:r>
      <w:r>
        <w:t xml:space="preserve">5</w:t>
      </w:r>
      <w:r>
        <w:t xml:space="preserve"> го</w:t>
      </w:r>
      <w:bookmarkStart w:id="0" w:name="_GoBack"/>
      <w:r/>
      <w:bookmarkEnd w:id="0"/>
      <w:r>
        <w:t xml:space="preserve">да №</w:t>
      </w:r>
      <w:r>
        <w:t xml:space="preserve"> </w:t>
      </w:r>
      <w:r>
        <w:t xml:space="preserve">____</w:t>
      </w:r>
      <w:r/>
    </w:p>
    <w:p>
      <w:pPr>
        <w:ind w:left="6096" w:firstLine="2"/>
      </w:pPr>
      <w:r/>
      <w:r/>
    </w:p>
    <w:p>
      <w:pPr>
        <w:ind w:left="5670" w:firstLine="2"/>
      </w:pPr>
      <w:r>
        <w:t xml:space="preserve">Приложение № 1 к решению Совета Пестречинского муниципального района </w:t>
      </w:r>
      <w:r/>
    </w:p>
    <w:p>
      <w:pPr>
        <w:ind w:left="5670" w:firstLine="2"/>
      </w:pPr>
      <w:r>
        <w:t xml:space="preserve">от 1 апреля 2021 года № 63</w:t>
      </w:r>
      <w:r/>
    </w:p>
    <w:p>
      <w:pPr>
        <w:ind w:left="6096" w:firstLine="2"/>
      </w:pPr>
      <w:r/>
      <w:r/>
    </w:p>
    <w:p>
      <w:pPr>
        <w:jc w:val="center"/>
      </w:pPr>
      <w:r>
        <w:rPr>
          <w:sz w:val="28"/>
          <w:szCs w:val="28"/>
        </w:rPr>
        <w:t xml:space="preserve">Размеры и условия оплаты труда глав муниципальных образований, заместителя главы муниципального района, </w:t>
      </w:r>
      <w:r>
        <w:rPr>
          <w:sz w:val="28"/>
          <w:szCs w:val="28"/>
        </w:rPr>
        <w:t xml:space="preserve">председателя к</w:t>
      </w:r>
      <w:r>
        <w:rPr>
          <w:sz w:val="28"/>
          <w:szCs w:val="28"/>
        </w:rPr>
        <w:t xml:space="preserve">онтрольно-счетной палаты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5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277"/>
        <w:gridCol w:w="1254"/>
        <w:gridCol w:w="1374"/>
        <w:gridCol w:w="1351"/>
        <w:gridCol w:w="1407"/>
      </w:tblGrid>
      <w:tr>
        <w:tblPrEx/>
        <w:trPr>
          <w:cantSplit/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368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      </w:t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денежного вознаграждения (в рублях)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7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группа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группа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группа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группа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группа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59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района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44 814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12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3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14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40 334</w:t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6" w:space="0"/>
            </w:tcBorders>
            <w:tcW w:w="12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right w:val="single" w:color="auto" w:sz="6" w:space="0"/>
            </w:tcBorders>
            <w:tcW w:w="13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right w:val="single" w:color="auto" w:sz="6" w:space="0"/>
            </w:tcBorders>
            <w:tcW w:w="13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right w:val="single" w:color="auto" w:sz="6" w:space="0"/>
            </w:tcBorders>
            <w:tcW w:w="140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контрольно- счетной палаты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40 334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06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                   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31 496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74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27 601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5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25 401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0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23 201</w:t>
            </w:r>
            <w:r/>
          </w:p>
        </w:tc>
      </w:tr>
    </w:tbl>
    <w:p>
      <w:pPr>
        <w:ind w:right="10" w:firstLine="715"/>
        <w:jc w:val="both"/>
        <w:spacing w:before="264" w:line="322" w:lineRule="exact"/>
        <w:shd w:val="clear" w:color="auto" w:fill="ffffff"/>
      </w:pPr>
      <w:r>
        <w:rPr>
          <w:color w:val="000000"/>
          <w:sz w:val="28"/>
          <w:szCs w:val="28"/>
        </w:rPr>
        <w:t xml:space="preserve">Главам муниципальных образований, заместителю главы муниципального </w:t>
      </w:r>
      <w:r>
        <w:rPr>
          <w:color w:val="000000"/>
          <w:spacing w:val="-1"/>
          <w:sz w:val="28"/>
          <w:szCs w:val="28"/>
        </w:rPr>
        <w:t xml:space="preserve">района, председателю контрольно-счетной палаты помимо ежемесячного денежного </w:t>
      </w:r>
      <w:r>
        <w:rPr>
          <w:color w:val="000000"/>
          <w:sz w:val="28"/>
          <w:szCs w:val="28"/>
        </w:rPr>
        <w:t xml:space="preserve">вознаграждения дополнительно устанавливаются:</w:t>
      </w:r>
      <w:r/>
    </w:p>
    <w:p>
      <w:pPr>
        <w:numPr>
          <w:ilvl w:val="0"/>
          <w:numId w:val="6"/>
        </w:numPr>
        <w:spacing w:line="322" w:lineRule="exact"/>
        <w:shd w:val="clear" w:color="auto" w:fill="ffffff"/>
        <w:widowControl w:val="off"/>
        <w:tabs>
          <w:tab w:val="left" w:pos="1027" w:leader="none"/>
        </w:tabs>
        <w:rPr>
          <w:color w:val="000000"/>
          <w:spacing w:val="-2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материальная помощь;</w:t>
      </w:r>
      <w:r>
        <w:rPr>
          <w:color w:val="000000"/>
          <w:spacing w:val="-28"/>
          <w:sz w:val="28"/>
          <w:szCs w:val="28"/>
        </w:rPr>
      </w:r>
    </w:p>
    <w:p>
      <w:pPr>
        <w:numPr>
          <w:ilvl w:val="0"/>
          <w:numId w:val="6"/>
        </w:numPr>
        <w:spacing w:line="322" w:lineRule="exact"/>
        <w:shd w:val="clear" w:color="auto" w:fill="ffffff"/>
        <w:widowControl w:val="off"/>
        <w:tabs>
          <w:tab w:val="left" w:pos="1027" w:leader="none"/>
        </w:tabs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ежемесячное денежное поощрение;</w:t>
      </w:r>
      <w:r>
        <w:rPr>
          <w:color w:val="000000"/>
          <w:spacing w:val="-15"/>
          <w:sz w:val="28"/>
          <w:szCs w:val="28"/>
        </w:rPr>
      </w:r>
    </w:p>
    <w:p>
      <w:pPr>
        <w:numPr>
          <w:ilvl w:val="0"/>
          <w:numId w:val="6"/>
        </w:numPr>
        <w:spacing w:line="322" w:lineRule="exact"/>
        <w:shd w:val="clear" w:color="auto" w:fill="ffffff"/>
        <w:widowControl w:val="off"/>
        <w:tabs>
          <w:tab w:val="left" w:pos="1027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премия по результатам работы;</w:t>
      </w:r>
      <w:r>
        <w:rPr>
          <w:color w:val="000000"/>
          <w:spacing w:val="-13"/>
          <w:sz w:val="28"/>
          <w:szCs w:val="28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numPr>
          <w:ilvl w:val="0"/>
          <w:numId w:val="7"/>
        </w:numPr>
        <w:ind w:right="5"/>
        <w:jc w:val="both"/>
        <w:spacing w:line="322" w:lineRule="exact"/>
        <w:shd w:val="clear" w:color="auto" w:fill="ffffff"/>
        <w:widowControl w:val="off"/>
        <w:tabs>
          <w:tab w:val="left" w:pos="1090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единовременная выплата при предоставлении ежегодного оплачиваемого отпуска;</w:t>
      </w:r>
      <w:r>
        <w:rPr>
          <w:color w:val="000000"/>
          <w:spacing w:val="-13"/>
          <w:sz w:val="28"/>
          <w:szCs w:val="28"/>
        </w:rPr>
      </w:r>
    </w:p>
    <w:p>
      <w:pPr>
        <w:numPr>
          <w:ilvl w:val="0"/>
          <w:numId w:val="7"/>
        </w:numPr>
        <w:ind w:right="5"/>
        <w:jc w:val="both"/>
        <w:spacing w:line="322" w:lineRule="exact"/>
        <w:shd w:val="clear" w:color="auto" w:fill="ffffff"/>
        <w:widowControl w:val="off"/>
        <w:tabs>
          <w:tab w:val="left" w:pos="1090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 xml:space="preserve">иные выплаты в соответствии с федеральными законодательствами и муниципальными правовыми актами.</w:t>
      </w:r>
      <w:r>
        <w:rPr>
          <w:color w:val="000000"/>
          <w:spacing w:val="-13"/>
          <w:sz w:val="28"/>
          <w:szCs w:val="28"/>
        </w:rPr>
      </w:r>
    </w:p>
    <w:p>
      <w:pPr>
        <w:ind w:left="14" w:right="10" w:firstLine="706"/>
        <w:jc w:val="both"/>
        <w:shd w:val="clear" w:color="auto" w:fill="ffffff"/>
      </w:pPr>
      <w:r>
        <w:rPr>
          <w:color w:val="000000"/>
          <w:spacing w:val="-1"/>
          <w:sz w:val="28"/>
          <w:szCs w:val="28"/>
        </w:rPr>
        <w:t xml:space="preserve">Главам сельских поселений помимо ежемесячного денежного вознаграждения, </w:t>
      </w:r>
      <w:r>
        <w:rPr>
          <w:color w:val="000000"/>
          <w:sz w:val="28"/>
          <w:szCs w:val="28"/>
        </w:rPr>
        <w:t xml:space="preserve">выплачивается ежемесячное денежное поощрение в размере, не превышающем:</w:t>
      </w:r>
      <w:r/>
    </w:p>
    <w:p>
      <w:pPr>
        <w:pStyle w:val="686"/>
        <w:numPr>
          <w:ilvl w:val="0"/>
          <w:numId w:val="9"/>
        </w:numPr>
        <w:jc w:val="both"/>
        <w:shd w:val="clear" w:color="auto" w:fill="ffffff"/>
      </w:pPr>
      <w:r>
        <w:rPr>
          <w:color w:val="000000"/>
          <w:spacing w:val="-1"/>
          <w:sz w:val="28"/>
          <w:szCs w:val="28"/>
        </w:rPr>
        <w:t xml:space="preserve">отнесенных к</w:t>
      </w:r>
      <w:r>
        <w:rPr>
          <w:color w:val="000000"/>
          <w:spacing w:val="-1"/>
          <w:sz w:val="28"/>
          <w:szCs w:val="28"/>
        </w:rPr>
        <w:t xml:space="preserve">   9 </w:t>
      </w:r>
      <w:r>
        <w:rPr>
          <w:color w:val="000000"/>
          <w:sz w:val="28"/>
          <w:szCs w:val="28"/>
        </w:rPr>
        <w:t xml:space="preserve">группе   </w:t>
      </w:r>
      <w:r>
        <w:rPr>
          <w:color w:val="000000"/>
          <w:sz w:val="28"/>
          <w:szCs w:val="28"/>
        </w:rPr>
        <w:t xml:space="preserve">оплаты труда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pacing w:val="-10"/>
          <w:sz w:val="28"/>
          <w:szCs w:val="28"/>
        </w:rPr>
        <w:t xml:space="preserve">,</w:t>
      </w:r>
      <w:r>
        <w:rPr>
          <w:color w:val="000000"/>
          <w:spacing w:val="-10"/>
          <w:sz w:val="28"/>
          <w:szCs w:val="28"/>
        </w:rPr>
        <w:t xml:space="preserve">43 ежемесячного</w:t>
      </w:r>
      <w:r>
        <w:rPr>
          <w:color w:val="000000"/>
          <w:spacing w:val="-1"/>
          <w:sz w:val="28"/>
          <w:szCs w:val="28"/>
        </w:rPr>
        <w:t xml:space="preserve"> денежного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вознаграждения в год;</w:t>
      </w:r>
      <w:r/>
    </w:p>
    <w:p>
      <w:pPr>
        <w:pStyle w:val="686"/>
        <w:numPr>
          <w:ilvl w:val="0"/>
          <w:numId w:val="9"/>
        </w:numPr>
        <w:jc w:val="both"/>
        <w:shd w:val="clear" w:color="auto" w:fill="ffffff"/>
      </w:pPr>
      <w:r>
        <w:rPr>
          <w:color w:val="000000"/>
          <w:spacing w:val="-3"/>
          <w:sz w:val="28"/>
          <w:szCs w:val="28"/>
        </w:rPr>
        <w:t xml:space="preserve">отнесенных к</w:t>
      </w:r>
      <w:r>
        <w:rPr>
          <w:color w:val="000000"/>
          <w:spacing w:val="-3"/>
          <w:sz w:val="28"/>
          <w:szCs w:val="28"/>
        </w:rPr>
        <w:t xml:space="preserve">   10 </w:t>
      </w:r>
      <w:r>
        <w:rPr>
          <w:color w:val="000000"/>
          <w:sz w:val="28"/>
          <w:szCs w:val="28"/>
        </w:rPr>
        <w:t xml:space="preserve">группе оплаты труда</w:t>
      </w: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 xml:space="preserve">18,</w:t>
      </w:r>
      <w:r>
        <w:rPr>
          <w:color w:val="000000"/>
          <w:spacing w:val="-11"/>
          <w:sz w:val="28"/>
          <w:szCs w:val="28"/>
        </w:rPr>
        <w:t xml:space="preserve">08 </w:t>
      </w:r>
      <w:r>
        <w:rPr>
          <w:color w:val="000000"/>
          <w:spacing w:val="-11"/>
          <w:sz w:val="28"/>
          <w:szCs w:val="28"/>
        </w:rPr>
        <w:t xml:space="preserve">ежемесячного</w:t>
      </w:r>
      <w:r>
        <w:rPr>
          <w:color w:val="000000"/>
          <w:spacing w:val="-1"/>
          <w:sz w:val="28"/>
          <w:szCs w:val="28"/>
        </w:rPr>
        <w:t xml:space="preserve"> денежного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вознаграждения в год;</w:t>
      </w:r>
      <w:r/>
    </w:p>
    <w:p>
      <w:pPr>
        <w:pStyle w:val="686"/>
        <w:numPr>
          <w:ilvl w:val="0"/>
          <w:numId w:val="9"/>
        </w:numPr>
        <w:jc w:val="both"/>
        <w:shd w:val="clear" w:color="auto" w:fill="ffffff"/>
      </w:pPr>
      <w:r>
        <w:rPr>
          <w:color w:val="000000"/>
          <w:spacing w:val="-4"/>
          <w:sz w:val="28"/>
          <w:szCs w:val="28"/>
        </w:rPr>
        <w:t xml:space="preserve">отнесенных к</w:t>
      </w:r>
      <w:r>
        <w:rPr>
          <w:color w:val="000000"/>
          <w:spacing w:val="-4"/>
          <w:sz w:val="28"/>
          <w:szCs w:val="28"/>
        </w:rPr>
        <w:t xml:space="preserve">   11 </w:t>
      </w:r>
      <w:r>
        <w:rPr>
          <w:color w:val="000000"/>
          <w:sz w:val="28"/>
          <w:szCs w:val="28"/>
        </w:rPr>
        <w:t xml:space="preserve">группе оплаты труда</w:t>
      </w: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3"/>
          <w:sz w:val="28"/>
          <w:szCs w:val="28"/>
        </w:rPr>
        <w:t xml:space="preserve">16,85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ежемесячного денежного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вознаграждения в год;</w:t>
      </w:r>
      <w:r/>
    </w:p>
    <w:p>
      <w:pPr>
        <w:pStyle w:val="686"/>
        <w:numPr>
          <w:ilvl w:val="0"/>
          <w:numId w:val="9"/>
        </w:numPr>
        <w:jc w:val="both"/>
        <w:shd w:val="clear" w:color="auto" w:fill="ffffff"/>
      </w:pPr>
      <w:r>
        <w:rPr>
          <w:color w:val="000000"/>
          <w:sz w:val="28"/>
          <w:szCs w:val="28"/>
        </w:rPr>
        <w:t xml:space="preserve">отнесенных к   12 </w:t>
      </w:r>
      <w:r>
        <w:rPr>
          <w:color w:val="000000"/>
          <w:sz w:val="28"/>
          <w:szCs w:val="28"/>
        </w:rPr>
        <w:t xml:space="preserve">группе оплаты труда</w:t>
      </w: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 xml:space="preserve">15,48</w:t>
      </w:r>
      <w:r>
        <w:t xml:space="preserve"> </w:t>
      </w:r>
      <w:r>
        <w:rPr>
          <w:color w:val="000000"/>
          <w:spacing w:val="-1"/>
          <w:sz w:val="28"/>
          <w:szCs w:val="28"/>
        </w:rPr>
        <w:t xml:space="preserve">ежемесячного денежного</w:t>
      </w:r>
      <w:r>
        <w:rPr>
          <w:color w:val="000000"/>
          <w:spacing w:val="-1"/>
          <w:sz w:val="28"/>
          <w:szCs w:val="28"/>
        </w:rPr>
        <w:t xml:space="preserve"> вознаграждения в год.</w:t>
      </w:r>
      <w:r/>
    </w:p>
    <w:p>
      <w:pPr>
        <w:ind w:left="14" w:firstLine="706"/>
        <w:jc w:val="both"/>
        <w:spacing w:line="322" w:lineRule="exact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14" w:firstLine="706"/>
        <w:jc w:val="both"/>
        <w:spacing w:line="322" w:lineRule="exact"/>
        <w:shd w:val="clear" w:color="auto" w:fill="ffffff"/>
      </w:pPr>
      <w:r>
        <w:rPr>
          <w:color w:val="000000"/>
          <w:sz w:val="28"/>
          <w:szCs w:val="28"/>
        </w:rPr>
        <w:t xml:space="preserve">Ежемесячная надбавка за выслугу лет к ежемесячному вознаграждению глав сельских поселений устанавливается в размерах, не превышающих размеры, установленные приложением №</w:t>
      </w:r>
      <w:r>
        <w:rPr>
          <w:color w:val="000000"/>
          <w:sz w:val="28"/>
          <w:szCs w:val="28"/>
        </w:rPr>
        <w:t xml:space="preserve"> 3 к настоящему решению.</w:t>
      </w:r>
      <w:r/>
    </w:p>
    <w:p>
      <w:pPr>
        <w:ind w:firstLine="710"/>
        <w:jc w:val="both"/>
        <w:spacing w:line="317" w:lineRule="exact"/>
        <w:shd w:val="clear" w:color="auto" w:fill="ffffff"/>
      </w:pPr>
      <w:r>
        <w:rPr>
          <w:color w:val="000000"/>
          <w:spacing w:val="-1"/>
          <w:sz w:val="28"/>
          <w:szCs w:val="28"/>
        </w:rPr>
        <w:t xml:space="preserve">Размер расходов на выплату ежемесячной надбавки за выслугу лет не может превышать норматив, составляющий три ежемесячных денежных вознаграждения по </w:t>
      </w:r>
      <w:r>
        <w:rPr>
          <w:color w:val="000000"/>
          <w:sz w:val="28"/>
          <w:szCs w:val="28"/>
        </w:rPr>
        <w:t xml:space="preserve">соответствующей должности в год.</w:t>
      </w:r>
      <w:r/>
    </w:p>
    <w:p>
      <w:pPr>
        <w:ind w:right="10" w:firstLine="706"/>
        <w:jc w:val="both"/>
        <w:spacing w:line="317" w:lineRule="exact"/>
        <w:shd w:val="clear" w:color="auto" w:fill="ffffff"/>
      </w:pPr>
      <w:r>
        <w:rPr>
          <w:color w:val="000000"/>
          <w:sz w:val="28"/>
          <w:szCs w:val="28"/>
        </w:rPr>
        <w:t xml:space="preserve">Единовременная выплат</w:t>
      </w:r>
      <w:r>
        <w:rPr>
          <w:color w:val="000000"/>
          <w:sz w:val="28"/>
          <w:szCs w:val="28"/>
        </w:rPr>
        <w:t xml:space="preserve">а при предоставлении ежегодного оплачиваемого отпуска главе муниципального образования, заместителю главы муниципального района, председателю контрольно-счетной палаты выплачивается в размере, не превышающем одного месячного денежного вознаграждения в год.</w:t>
      </w:r>
      <w:r/>
    </w:p>
    <w:p>
      <w:pPr>
        <w:ind w:firstLine="710"/>
        <w:jc w:val="both"/>
        <w:spacing w:before="5" w:line="317" w:lineRule="exact"/>
        <w:shd w:val="clear" w:color="auto" w:fill="ffffff"/>
      </w:pPr>
      <w:r>
        <w:rPr>
          <w:color w:val="000000"/>
          <w:sz w:val="28"/>
          <w:szCs w:val="28"/>
        </w:rPr>
        <w:t xml:space="preserve">Главе муниципального района, помимо ежемесячного денежного 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 xml:space="preserve">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  <w:r/>
    </w:p>
    <w:p>
      <w:pPr>
        <w:ind w:left="5" w:right="5" w:firstLine="706"/>
        <w:jc w:val="both"/>
        <w:spacing w:line="317" w:lineRule="exact"/>
        <w:shd w:val="clear" w:color="auto" w:fill="ffffff"/>
      </w:pPr>
      <w:r>
        <w:rPr>
          <w:color w:val="000000"/>
          <w:spacing w:val="-1"/>
          <w:sz w:val="28"/>
          <w:szCs w:val="28"/>
        </w:rPr>
        <w:t xml:space="preserve">Заместителю главы муниципального района, помимо ежемесячного денежного </w:t>
      </w:r>
      <w:r>
        <w:rPr>
          <w:color w:val="000000"/>
          <w:sz w:val="28"/>
          <w:szCs w:val="28"/>
        </w:rPr>
        <w:t xml:space="preserve">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 xml:space="preserve">соответствии с муниципальными правовыми актами. При этом ежемесячный </w:t>
      </w:r>
      <w:r>
        <w:rPr>
          <w:color w:val="000000"/>
          <w:spacing w:val="-1"/>
          <w:sz w:val="28"/>
          <w:szCs w:val="28"/>
        </w:rPr>
        <w:t xml:space="preserve">совокупный размер денежных выплат заместителю главы муниципального района не </w:t>
      </w:r>
      <w:r>
        <w:rPr>
          <w:color w:val="000000"/>
          <w:sz w:val="28"/>
          <w:szCs w:val="28"/>
        </w:rPr>
        <w:t xml:space="preserve">может превышать 0,55 ежемесячного совокупного размера денежных выплат главы муниципального района.</w:t>
      </w:r>
      <w:r/>
    </w:p>
    <w:p>
      <w:pPr>
        <w:ind w:left="10" w:right="5" w:firstLine="706"/>
        <w:jc w:val="both"/>
        <w:spacing w:line="317" w:lineRule="exact"/>
        <w:shd w:val="clear" w:color="auto" w:fill="ffffff"/>
      </w:pPr>
      <w:r>
        <w:rPr>
          <w:color w:val="000000"/>
          <w:sz w:val="28"/>
          <w:szCs w:val="28"/>
        </w:rPr>
        <w:t xml:space="preserve">Председателю контрольно-счетной палаты, помимо ежемесячного денежного вознаграждения и единовременной выплаты при предоставлении ежегодного </w:t>
      </w:r>
      <w:r>
        <w:rPr>
          <w:color w:val="000000"/>
          <w:spacing w:val="-1"/>
          <w:sz w:val="28"/>
          <w:szCs w:val="28"/>
        </w:rPr>
        <w:t xml:space="preserve">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</w:t>
      </w:r>
      <w:r>
        <w:rPr>
          <w:color w:val="000000"/>
          <w:sz w:val="28"/>
          <w:szCs w:val="28"/>
        </w:rPr>
        <w:t xml:space="preserve">соответствии с муниципальными правовыми актами. При этом ежемесячный совокупный размер его денежных выплат не может превышать 0,55 ежемесячного совокупного размера денежных выплат главы муниципального района.</w:t>
      </w:r>
      <w:r/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8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92"/>
    <w:uiPriority w:val="99"/>
  </w:style>
  <w:style w:type="character" w:styleId="45">
    <w:name w:val="Footer Char"/>
    <w:basedOn w:val="683"/>
    <w:link w:val="694"/>
    <w:uiPriority w:val="99"/>
  </w:style>
  <w:style w:type="paragraph" w:styleId="46">
    <w:name w:val="Caption"/>
    <w:basedOn w:val="681"/>
    <w:next w:val="68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2">
    <w:name w:val="Heading 1"/>
    <w:basedOn w:val="681"/>
    <w:next w:val="681"/>
    <w:link w:val="697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List Paragraph"/>
    <w:basedOn w:val="681"/>
    <w:uiPriority w:val="34"/>
    <w:qFormat/>
    <w:pPr>
      <w:contextualSpacing/>
      <w:ind w:left="720"/>
    </w:pPr>
  </w:style>
  <w:style w:type="paragraph" w:styleId="687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88">
    <w:name w:val="Hyperlink"/>
    <w:uiPriority w:val="99"/>
    <w:unhideWhenUsed/>
    <w:rPr>
      <w:color w:val="0000ff"/>
      <w:u w:val="single"/>
    </w:rPr>
  </w:style>
  <w:style w:type="paragraph" w:styleId="689">
    <w:name w:val="Balloon Text"/>
    <w:basedOn w:val="681"/>
    <w:link w:val="690"/>
    <w:uiPriority w:val="99"/>
    <w:semiHidden/>
    <w:unhideWhenUsed/>
    <w:rPr>
      <w:rFonts w:ascii="Tahoma" w:hAnsi="Tahoma" w:cs="Tahoma"/>
      <w:sz w:val="16"/>
      <w:szCs w:val="16"/>
    </w:rPr>
  </w:style>
  <w:style w:type="character" w:styleId="690" w:customStyle="1">
    <w:name w:val="Текст выноски Знак"/>
    <w:link w:val="6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1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2">
    <w:name w:val="Header"/>
    <w:basedOn w:val="681"/>
    <w:link w:val="6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3" w:customStyle="1">
    <w:name w:val="Верхний колонтитул Знак"/>
    <w:link w:val="6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4">
    <w:name w:val="Footer"/>
    <w:basedOn w:val="681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Ниж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7" w:customStyle="1">
    <w:name w:val="Заголовок 1 Знак"/>
    <w:basedOn w:val="683"/>
    <w:link w:val="682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4990-6C96-4509-9307-BF947117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dcterms:created xsi:type="dcterms:W3CDTF">2025-12-02T07:20:00Z</dcterms:created>
  <dcterms:modified xsi:type="dcterms:W3CDTF">2025-12-04T13:45:01Z</dcterms:modified>
</cp:coreProperties>
</file>