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widowControl w:val="off"/>
        <w:rPr>
          <w:sz w:val="28"/>
          <w:szCs w:val="28"/>
          <w:lang w:eastAsia="en-US"/>
        </w:rPr>
      </w:pPr>
      <w:r/>
      <w:bookmarkStart w:id="0" w:name="_GoBack"/>
      <w:r>
        <w:rPr>
          <w:sz w:val="28"/>
          <w:szCs w:val="28"/>
          <w:lang w:eastAsia="en-US"/>
        </w:rPr>
        <w:t xml:space="preserve">Об организации бесплатного горячего питания обучающихся муниципальных образовательных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организаций из многодетных семей, имеющих в</w:t>
      </w:r>
      <w:r>
        <w:rPr>
          <w:sz w:val="28"/>
          <w:szCs w:val="28"/>
          <w:lang w:eastAsia="en-US"/>
        </w:rPr>
        <w:t xml:space="preserve"> своем составе </w:t>
      </w:r>
      <w:r>
        <w:rPr>
          <w:sz w:val="28"/>
          <w:szCs w:val="28"/>
          <w:lang w:eastAsia="en-US"/>
        </w:rPr>
        <w:t xml:space="preserve">четырех и более детей в возрасте до 18 лет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муниципального района Республики Татарстан на 2026 год</w:t>
      </w:r>
      <w:bookmarkEnd w:id="0"/>
      <w:r>
        <w:rPr>
          <w:sz w:val="28"/>
          <w:szCs w:val="28"/>
          <w:lang w:eastAsia="en-US"/>
        </w:rPr>
      </w:r>
    </w:p>
    <w:p>
      <w:pPr>
        <w:ind w:right="5385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5385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социальной защиты детей, охраны их здоровья, обеспечения выполнения норм сбалансированного горячего питания в общеобразовательных организациях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муниципального района</w:t>
      </w:r>
      <w:r>
        <w:rPr>
          <w:sz w:val="28"/>
          <w:szCs w:val="28"/>
          <w:lang w:eastAsia="en-US"/>
        </w:rPr>
        <w:t xml:space="preserve"> Республики Татарстан</w:t>
      </w:r>
      <w:r>
        <w:rPr>
          <w:sz w:val="28"/>
          <w:szCs w:val="28"/>
          <w:lang w:eastAsia="en-US"/>
        </w:rPr>
        <w:t xml:space="preserve">, в соответствии с Федеральным Законом от 29.12.2012</w:t>
      </w:r>
      <w:r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273-ФЗ «Об образовании в Российской Федерации»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Законом Республики Татарстан  от 28.12.2004 года № 63-ЗРТ «Об адресной социальной поддержке населения в Республике Татарстан»,</w:t>
      </w:r>
      <w:r>
        <w:rPr>
          <w:sz w:val="28"/>
          <w:szCs w:val="28"/>
          <w:lang w:eastAsia="en-US"/>
        </w:rPr>
        <w:t xml:space="preserve"> Постановлениями</w:t>
      </w:r>
      <w:r>
        <w:rPr>
          <w:sz w:val="28"/>
          <w:szCs w:val="28"/>
          <w:lang w:eastAsia="en-US"/>
        </w:rPr>
        <w:t xml:space="preserve"> Кабинета Министров Республики Татарстан </w:t>
      </w:r>
      <w:r>
        <w:rPr>
          <w:sz w:val="28"/>
          <w:szCs w:val="28"/>
          <w:lang w:eastAsia="en-US"/>
        </w:rPr>
        <w:t xml:space="preserve">от 22.09.2025 года № 726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Об утверждении нормативных затрат на организацию и обеспечение бесплатным горячим питанием обучающихся по образ</w:t>
      </w:r>
      <w:r>
        <w:rPr>
          <w:sz w:val="28"/>
          <w:szCs w:val="28"/>
          <w:lang w:eastAsia="en-US"/>
        </w:rPr>
        <w:t xml:space="preserve">овательным программам начального общего образования  в государственных образовательных организациях и средней стоимости горячего питания обучающихся по программам начального общего образования на 2026 год и плановый период 2027 и 2028 годов», от 03.10.2025</w:t>
      </w:r>
      <w:r>
        <w:rPr>
          <w:sz w:val="28"/>
          <w:szCs w:val="28"/>
          <w:lang w:eastAsia="en-US"/>
        </w:rPr>
        <w:t xml:space="preserve"> года </w:t>
      </w:r>
      <w:r>
        <w:rPr>
          <w:sz w:val="28"/>
          <w:szCs w:val="28"/>
          <w:lang w:eastAsia="en-US"/>
        </w:rPr>
        <w:t xml:space="preserve">№ 787 «Об утверждении норматива стоимости обеспечения питанием обучающихся по образовательным программам основного общего и</w:t>
      </w:r>
      <w:r>
        <w:rPr>
          <w:sz w:val="28"/>
          <w:szCs w:val="28"/>
          <w:lang w:eastAsia="en-US"/>
        </w:rPr>
        <w:t xml:space="preserve"> среднего общего образования в муниципальных общеобразовательных организациях на 2026 год и на плановый период 2027 и 2028 годов»,  Исполнительный комитет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муниципального района Республики Татарстан постановляет: 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Обеспечить бесплатным горячим питанием обучающихся муниципальных образовательных организаций из многодетных семей, имеющих в своем составе четырех и более детей в возрасте до 18 лет.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b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Обеспечить учащихся, обучающихся на дому, сухим пайком </w:t>
      </w:r>
      <w:r>
        <w:rPr>
          <w:sz w:val="28"/>
          <w:szCs w:val="28"/>
          <w:lang w:eastAsia="en-US"/>
        </w:rPr>
        <w:t xml:space="preserve">согласно суммы</w:t>
      </w:r>
      <w:r>
        <w:rPr>
          <w:sz w:val="28"/>
          <w:szCs w:val="28"/>
          <w:lang w:eastAsia="en-US"/>
        </w:rPr>
        <w:t xml:space="preserve"> в день на одного ребенка.</w:t>
      </w:r>
      <w:r>
        <w:rPr>
          <w:b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Утвердить </w:t>
      </w:r>
      <w:hyperlink r:id="rId11" w:tooltip="https://www.consultant.ru/document/cons_doc_LAW_140174/708566b2fd52d51c70e2f0c8e02abb2d81a6c22e/" w:history="1">
        <w:r>
          <w:rPr>
            <w:color w:val="000000"/>
            <w:sz w:val="28"/>
            <w:szCs w:val="28"/>
          </w:rPr>
          <w:t xml:space="preserve">порядок</w:t>
        </w:r>
      </w:hyperlink>
      <w:r>
        <w:rPr>
          <w:color w:val="000000"/>
          <w:sz w:val="28"/>
          <w:szCs w:val="28"/>
        </w:rPr>
        <w:t xml:space="preserve"> обеспечения бесплатным горячим питанием </w:t>
      </w:r>
      <w:r>
        <w:rPr>
          <w:color w:val="000000"/>
          <w:sz w:val="28"/>
          <w:szCs w:val="28"/>
        </w:rPr>
        <w:t xml:space="preserve">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горячего питания денежной компенсацией.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Организовать сбалансированное по содержанию основных питательных веществ, горячее питание в общеобразовательных организациях, а также представление утвержденного набора продуктов питания учащимся, согласно </w:t>
      </w:r>
      <w:r>
        <w:rPr>
          <w:sz w:val="28"/>
          <w:szCs w:val="28"/>
          <w:lang w:eastAsia="en-US"/>
        </w:rPr>
        <w:t xml:space="preserve">СанПин</w:t>
      </w:r>
      <w:r>
        <w:rPr>
          <w:sz w:val="28"/>
          <w:szCs w:val="28"/>
          <w:lang w:eastAsia="en-US"/>
        </w:rPr>
        <w:t xml:space="preserve"> 2.4.5.2409-08.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Направить на финансирование расходов по питанию горячим питанием обучающихся из многодетных семей, имеющих в своем составе четырех и более детей в возрасте до 18 лет в муниципальных общеобразовательных организациях: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tabs>
          <w:tab w:val="left" w:pos="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для учащихся с 5 по 11 класс субсидии на питание в размере до 67,06 рублей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для учащихся с 5 по 11 классы в учреждениях образования, имеющие статус «лицей» субсидии на питание в размере до 6</w:t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eastAsia="en-US"/>
        </w:rPr>
        <w:t xml:space="preserve">,00 рублей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продукцию, выращенную на пришкольном участке и соответствующую нормам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СанПин</w:t>
      </w:r>
      <w:r>
        <w:rPr>
          <w:sz w:val="28"/>
          <w:szCs w:val="28"/>
          <w:lang w:eastAsia="en-US"/>
        </w:rPr>
        <w:t xml:space="preserve"> 2.4.5.2409-08.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Финансово-бюджетной палате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муниципал</w:t>
      </w:r>
      <w:r>
        <w:rPr>
          <w:sz w:val="28"/>
          <w:szCs w:val="28"/>
          <w:lang w:eastAsia="en-US"/>
        </w:rPr>
        <w:t xml:space="preserve">ьного района Республики Татарстан обеспечить финансирование расходов на питание обучающихся с ограниченными возможностями здоровья и детей-инвалидов в муниципальных общеобразовательных учреждениях, в пределах средств, предусмотренных на эти цели в бюджете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муниципального района Республики Татарстан.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Рекомендовать МБУ «Отдел образования»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муниципального района: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 Обеспечить учет и </w:t>
      </w:r>
      <w:r>
        <w:rPr>
          <w:sz w:val="28"/>
          <w:szCs w:val="28"/>
          <w:lang w:eastAsia="en-US"/>
        </w:rPr>
        <w:t xml:space="preserve">контроль за</w:t>
      </w:r>
      <w:r>
        <w:rPr>
          <w:sz w:val="28"/>
          <w:szCs w:val="28"/>
          <w:lang w:eastAsia="en-US"/>
        </w:rPr>
        <w:t xml:space="preserve"> соблюдением норм и качества питания, сбалансированных по содержанию основных питательных веществ, обогащенных витаминами, микроэлементами.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tabs>
          <w:tab w:val="left" w:pos="851" w:leader="none"/>
          <w:tab w:val="left" w:pos="2206" w:leader="none"/>
        </w:tabs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7.2. Обеспечить контроль над целевым использова</w:t>
      </w:r>
      <w:r>
        <w:rPr>
          <w:sz w:val="28"/>
          <w:szCs w:val="28"/>
          <w:lang w:eastAsia="en-US"/>
        </w:rPr>
        <w:t xml:space="preserve">нием и учетом средств, выделенных на организацию горячего питания обучающихся из многодетных семей, имеющих в своем составе четырех и более детей в возрасте до 18 лет, усилить работу по обогащению ассортимента школьных обедов за счет продукции пришкольных </w:t>
      </w:r>
      <w:r>
        <w:rPr>
          <w:spacing w:val="-2"/>
          <w:sz w:val="28"/>
          <w:szCs w:val="28"/>
          <w:lang w:eastAsia="en-US"/>
        </w:rPr>
        <w:t xml:space="preserve">участков.</w:t>
      </w:r>
      <w:r>
        <w:rPr>
          <w:spacing w:val="-2"/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8. Опубликовать (обнародовать) настоящее постановление путем размещения на официальном сайте </w:t>
      </w:r>
      <w:r>
        <w:rPr>
          <w:rFonts w:eastAsia="SimSun"/>
          <w:sz w:val="28"/>
          <w:szCs w:val="28"/>
          <w:lang w:eastAsia="zh-CN"/>
        </w:rPr>
        <w:t xml:space="preserve">Пестречинского</w:t>
      </w:r>
      <w:r>
        <w:rPr>
          <w:rFonts w:eastAsia="SimSun"/>
          <w:sz w:val="28"/>
          <w:szCs w:val="28"/>
          <w:lang w:eastAsia="zh-CN"/>
        </w:rPr>
        <w:t xml:space="preserve"> муниципального района Республики Татарстан в информационно-телекоммуникационной сети Интернет: </w:t>
      </w:r>
      <w:hyperlink r:id="rId12" w:tooltip="http://pestreci.tatarstan.ru" w:history="1">
        <w:r>
          <w:rPr>
            <w:rFonts w:eastAsia="SimSun"/>
            <w:sz w:val="28"/>
            <w:szCs w:val="28"/>
            <w:lang w:eastAsia="zh-CN"/>
          </w:rPr>
          <w:t xml:space="preserve">http://pestreci.tatarstan.</w:t>
        </w:r>
        <w:r>
          <w:rPr>
            <w:rFonts w:eastAsia="SimSun"/>
            <w:sz w:val="28"/>
            <w:szCs w:val="28"/>
            <w:lang w:val="en-US" w:eastAsia="zh-CN"/>
          </w:rPr>
          <w:t xml:space="preserve">ru</w:t>
        </w:r>
      </w:hyperlink>
      <w:r>
        <w:rPr>
          <w:rFonts w:eastAsia="SimSun"/>
          <w:sz w:val="28"/>
          <w:szCs w:val="28"/>
          <w:lang w:eastAsia="zh-CN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3" w:tooltip="http://pravo.tatarstan.ru" w:history="1">
        <w:r>
          <w:rPr>
            <w:rFonts w:eastAsia="SimSun"/>
            <w:sz w:val="28"/>
            <w:szCs w:val="28"/>
            <w:lang w:eastAsia="zh-CN"/>
          </w:rPr>
          <w:t xml:space="preserve">http://pravo.tatarstan.ru</w:t>
        </w:r>
      </w:hyperlink>
      <w:r>
        <w:rPr>
          <w:rFonts w:eastAsia="SimSun"/>
          <w:sz w:val="28"/>
          <w:szCs w:val="28"/>
          <w:lang w:eastAsia="zh-CN"/>
        </w:rPr>
        <w:t xml:space="preserve">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567"/>
        <w:jc w:val="both"/>
        <w:tabs>
          <w:tab w:val="left" w:pos="851" w:leader="none"/>
        </w:tabs>
        <w:rPr>
          <w:rFonts w:eastAsia="SimSun"/>
          <w:bCs/>
          <w:sz w:val="28"/>
          <w:szCs w:val="28"/>
          <w:lang w:eastAsia="zh-CN"/>
        </w:rPr>
        <w:outlineLvl w:val="0"/>
      </w:pPr>
      <w:r>
        <w:rPr>
          <w:rFonts w:eastAsia="SimSun"/>
          <w:bCs/>
          <w:sz w:val="28"/>
          <w:szCs w:val="28"/>
          <w:lang w:eastAsia="zh-CN"/>
        </w:rPr>
        <w:t xml:space="preserve"> </w:t>
      </w:r>
      <w:r>
        <w:rPr>
          <w:rFonts w:eastAsia="SimSun"/>
          <w:bCs/>
          <w:sz w:val="28"/>
          <w:szCs w:val="28"/>
          <w:lang w:eastAsia="zh-CN"/>
        </w:rPr>
        <w:t xml:space="preserve">9. </w:t>
      </w:r>
      <w:r>
        <w:rPr>
          <w:rFonts w:eastAsia="SimSun"/>
          <w:bCs/>
          <w:sz w:val="28"/>
          <w:szCs w:val="28"/>
          <w:lang w:eastAsia="zh-CN"/>
        </w:rPr>
        <w:t xml:space="preserve">Контроль за</w:t>
      </w:r>
      <w:r>
        <w:rPr>
          <w:rFonts w:eastAsia="SimSun"/>
          <w:bCs/>
          <w:sz w:val="28"/>
          <w:szCs w:val="28"/>
          <w:lang w:eastAsia="zh-CN"/>
        </w:rPr>
        <w:t xml:space="preserve"> исполнением настоящего постановления возложи</w:t>
      </w:r>
      <w:r>
        <w:rPr>
          <w:rFonts w:eastAsia="SimSun"/>
          <w:bCs/>
          <w:sz w:val="28"/>
          <w:szCs w:val="28"/>
          <w:lang w:eastAsia="zh-CN"/>
        </w:rPr>
        <w:t xml:space="preserve">ть на заместителя руководителя И</w:t>
      </w:r>
      <w:r>
        <w:rPr>
          <w:rFonts w:eastAsia="SimSun"/>
          <w:bCs/>
          <w:sz w:val="28"/>
          <w:szCs w:val="28"/>
          <w:lang w:eastAsia="zh-CN"/>
        </w:rPr>
        <w:t xml:space="preserve">сполнительного комитета </w:t>
      </w:r>
      <w:r>
        <w:rPr>
          <w:rFonts w:eastAsia="SimSun"/>
          <w:bCs/>
          <w:sz w:val="28"/>
          <w:szCs w:val="28"/>
          <w:lang w:eastAsia="zh-CN"/>
        </w:rPr>
        <w:t xml:space="preserve">Пестречинского</w:t>
      </w:r>
      <w:r>
        <w:rPr>
          <w:rFonts w:eastAsia="SimSun"/>
          <w:bCs/>
          <w:sz w:val="28"/>
          <w:szCs w:val="28"/>
          <w:lang w:eastAsia="zh-CN"/>
        </w:rPr>
        <w:t xml:space="preserve"> муниципального района</w:t>
      </w:r>
      <w:r>
        <w:rPr>
          <w:rFonts w:eastAsia="SimSun"/>
          <w:bCs/>
          <w:sz w:val="28"/>
          <w:szCs w:val="28"/>
          <w:lang w:eastAsia="zh-CN"/>
        </w:rPr>
        <w:t xml:space="preserve"> Республики Татарстан</w:t>
      </w:r>
      <w:r>
        <w:rPr>
          <w:rFonts w:eastAsia="SimSun"/>
          <w:bCs/>
          <w:sz w:val="28"/>
          <w:szCs w:val="28"/>
          <w:lang w:eastAsia="zh-CN"/>
        </w:rPr>
        <w:t xml:space="preserve"> Харитонову М.А.</w:t>
      </w:r>
      <w:r>
        <w:rPr>
          <w:rFonts w:eastAsia="SimSun"/>
          <w:bCs/>
          <w:sz w:val="28"/>
          <w:szCs w:val="28"/>
          <w:lang w:eastAsia="zh-CN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И.Р. </w:t>
      </w:r>
      <w:r>
        <w:rPr>
          <w:rFonts w:ascii="Times New Roman" w:hAnsi="Times New Roman" w:cs="Times New Roman"/>
          <w:sz w:val="28"/>
          <w:szCs w:val="28"/>
        </w:rPr>
        <w:t xml:space="preserve">Давлетханов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465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5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7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57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7" w:default="1">
    <w:name w:val="Normal"/>
    <w:qFormat/>
    <w:rPr>
      <w:sz w:val="24"/>
      <w:szCs w:val="24"/>
    </w:rPr>
  </w:style>
  <w:style w:type="paragraph" w:styleId="678">
    <w:name w:val="Heading 1"/>
    <w:basedOn w:val="677"/>
    <w:next w:val="677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Header Char"/>
    <w:basedOn w:val="687"/>
    <w:uiPriority w:val="99"/>
  </w:style>
  <w:style w:type="character" w:styleId="704" w:customStyle="1">
    <w:name w:val="Footer Char"/>
    <w:basedOn w:val="687"/>
    <w:uiPriority w:val="99"/>
  </w:style>
  <w:style w:type="character" w:styleId="705" w:customStyle="1">
    <w:name w:val="Caption Char"/>
    <w:basedOn w:val="687"/>
    <w:uiPriority w:val="35"/>
    <w:rPr>
      <w:b/>
      <w:bCs/>
      <w:color w:val="4f81bd" w:themeColor="accent1"/>
      <w:sz w:val="18"/>
      <w:szCs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7"/>
    <w:link w:val="879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77"/>
    <w:next w:val="677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77"/>
    <w:next w:val="677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7"/>
    <w:next w:val="677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7"/>
    <w:next w:val="677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7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Верхний колонтитул Знак"/>
    <w:link w:val="726"/>
    <w:uiPriority w:val="99"/>
  </w:style>
  <w:style w:type="paragraph" w:styleId="728">
    <w:name w:val="Footer"/>
    <w:basedOn w:val="67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Нижний колонтитул Знак"/>
    <w:link w:val="728"/>
    <w:uiPriority w:val="99"/>
  </w:style>
  <w:style w:type="paragraph" w:styleId="730">
    <w:name w:val="Caption"/>
    <w:basedOn w:val="677"/>
    <w:next w:val="677"/>
    <w:link w:val="73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Название объекта Знак"/>
    <w:link w:val="730"/>
    <w:uiPriority w:val="35"/>
    <w:rPr>
      <w:b/>
      <w:bCs/>
      <w:color w:val="4f81bd"/>
      <w:sz w:val="18"/>
      <w:szCs w:val="18"/>
    </w:rPr>
  </w:style>
  <w:style w:type="table" w:styleId="732">
    <w:name w:val="Table Grid"/>
    <w:basedOn w:val="688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rPr>
      <w:color w:val="0000ff"/>
      <w:u w:val="single"/>
    </w:rPr>
  </w:style>
  <w:style w:type="paragraph" w:styleId="859">
    <w:name w:val="footnote text"/>
    <w:basedOn w:val="677"/>
    <w:link w:val="880"/>
    <w:unhideWhenUsed/>
    <w:rPr>
      <w:sz w:val="20"/>
      <w:szCs w:val="20"/>
    </w:rPr>
  </w:style>
  <w:style w:type="character" w:styleId="860" w:customStyle="1">
    <w:name w:val="Footnote Text Char"/>
    <w:uiPriority w:val="99"/>
    <w:rPr>
      <w:sz w:val="18"/>
    </w:rPr>
  </w:style>
  <w:style w:type="character" w:styleId="861">
    <w:name w:val="footnote reference"/>
    <w:unhideWhenUsed/>
    <w:rPr>
      <w:vertAlign w:val="superscript"/>
    </w:rPr>
  </w:style>
  <w:style w:type="paragraph" w:styleId="862">
    <w:name w:val="endnote text"/>
    <w:basedOn w:val="677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77"/>
    <w:next w:val="677"/>
    <w:uiPriority w:val="39"/>
    <w:unhideWhenUsed/>
    <w:pPr>
      <w:spacing w:after="57"/>
    </w:pPr>
  </w:style>
  <w:style w:type="paragraph" w:styleId="866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7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8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9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70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71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72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73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77"/>
    <w:next w:val="677"/>
    <w:uiPriority w:val="99"/>
    <w:unhideWhenUsed/>
  </w:style>
  <w:style w:type="paragraph" w:styleId="876" w:customStyle="1">
    <w:name w:val="Знак"/>
    <w:basedOn w:val="677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77">
    <w:name w:val="Balloon Text"/>
    <w:basedOn w:val="677"/>
    <w:link w:val="878"/>
    <w:rPr>
      <w:rFonts w:ascii="Tahoma" w:hAnsi="Tahoma"/>
      <w:sz w:val="16"/>
      <w:szCs w:val="16"/>
      <w:lang w:val="en-US" w:eastAsia="en-US"/>
    </w:rPr>
  </w:style>
  <w:style w:type="character" w:styleId="878" w:customStyle="1">
    <w:name w:val="Текст выноски Знак"/>
    <w:link w:val="877"/>
    <w:rPr>
      <w:rFonts w:ascii="Tahoma" w:hAnsi="Tahoma" w:cs="Tahoma"/>
      <w:sz w:val="16"/>
      <w:szCs w:val="16"/>
    </w:rPr>
  </w:style>
  <w:style w:type="character" w:styleId="879" w:customStyle="1">
    <w:name w:val="Абзац списка Знак"/>
    <w:link w:val="716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character" w:styleId="880" w:customStyle="1">
    <w:name w:val="Текст сноски Знак"/>
    <w:basedOn w:val="687"/>
    <w:link w:val="859"/>
  </w:style>
  <w:style w:type="paragraph" w:styleId="881" w:customStyle="1">
    <w:name w:val="formattext"/>
    <w:basedOn w:val="677"/>
    <w:pPr>
      <w:spacing w:before="100" w:beforeAutospacing="1" w:after="100" w:afterAutospacing="1"/>
    </w:pPr>
  </w:style>
  <w:style w:type="paragraph" w:styleId="882" w:customStyle="1">
    <w:name w:val="headertext"/>
    <w:basedOn w:val="677"/>
    <w:pPr>
      <w:spacing w:before="100" w:beforeAutospacing="1" w:after="100" w:afterAutospacing="1"/>
    </w:pPr>
  </w:style>
  <w:style w:type="paragraph" w:styleId="883" w:customStyle="1">
    <w:name w:val="ConsPlusTitle"/>
    <w:uiPriority w:val="99"/>
    <w:qFormat/>
    <w:pPr>
      <w:widowControl w:val="off"/>
    </w:pPr>
    <w:rPr>
      <w:rFonts w:ascii="Arial" w:hAnsi="Arial" w:cs="Arial"/>
      <w:b/>
      <w:bCs/>
    </w:rPr>
  </w:style>
  <w:style w:type="paragraph" w:styleId="884" w:customStyle="1">
    <w:name w:val="ConsPlusNonformat"/>
    <w:rPr>
      <w:rFonts w:ascii="Courier New" w:hAnsi="Courier New" w:eastAsia="Calibri" w:cs="Courier New"/>
    </w:rPr>
  </w:style>
  <w:style w:type="paragraph" w:styleId="885" w:customStyle="1">
    <w:name w:val="docdata;docy;v5;254181;bqiaagaaeyqcaaagiaiaaanm4amabvrgawaaaaaaaaaaaaaaaaaaaaaaaaaaaaaaaaaaaaaaaaaaaaaaaaaaaaaaaaaaaaaaaaaaaaaaaaaaaaaaaaaaaaaaaaaaaaaaaaaaaaaaaaaaaaaaaaaaaaaaaaaaaaaaaaaaaaaaaaaaaaaaaaaaaaaaaaaaaaaaaaaaaaaaaaaaaaaaaaaaaaaaaaaaaaaaaaaaaa"/>
    <w:basedOn w:val="677"/>
    <w:pPr>
      <w:spacing w:before="100" w:beforeAutospacing="1" w:after="100" w:afterAutospacing="1"/>
    </w:pPr>
  </w:style>
  <w:style w:type="paragraph" w:styleId="886">
    <w:name w:val="Normal (Web)"/>
    <w:basedOn w:val="677"/>
    <w:uiPriority w:val="99"/>
    <w:unhideWhenUsed/>
    <w:pPr>
      <w:spacing w:before="100" w:beforeAutospacing="1" w:after="100" w:afterAutospacing="1"/>
    </w:pPr>
  </w:style>
  <w:style w:type="paragraph" w:styleId="887" w:customStyle="1">
    <w:name w:val="Название1"/>
    <w:qFormat/>
    <w:pPr>
      <w:ind w:right="220"/>
      <w:jc w:val="center"/>
      <w:spacing w:line="32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/document/cons_doc_LAW_140174/708566b2fd52d51c70e2f0c8e02abb2d81a6c22e/" TargetMode="External"/><Relationship Id="rId12" Type="http://schemas.openxmlformats.org/officeDocument/2006/relationships/hyperlink" Target="http://pestreci.tatarstan.ru" TargetMode="External"/><Relationship Id="rId13" Type="http://schemas.openxmlformats.org/officeDocument/2006/relationships/hyperlink" Target="http://pravo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5</cp:revision>
  <dcterms:created xsi:type="dcterms:W3CDTF">2025-11-12T12:10:00Z</dcterms:created>
  <dcterms:modified xsi:type="dcterms:W3CDTF">2025-12-15T11:33:44Z</dcterms:modified>
  <cp:version>917504</cp:version>
</cp:coreProperties>
</file>