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8006" w:leader="none"/>
        </w:tabs>
      </w:pPr>
      <w:r/>
      <w:r>
        <w:tab/>
        <w:t xml:space="preserve">Проект </w:t>
      </w:r>
      <w:r/>
    </w:p>
    <w:tbl>
      <w:tblPr>
        <w:tblW w:w="11125" w:type="dxa"/>
        <w:tblInd w:w="-1304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>
        <w:tblPrEx/>
        <w:trPr>
          <w:trHeight w:val="2113"/>
        </w:trPr>
        <w:tc>
          <w:tcPr>
            <w:gridSpan w:val="2"/>
            <w:tcW w:w="45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0"/>
                <w:lang w:eastAsia="zh-CN"/>
              </w:rPr>
              <w:t xml:space="preserve">Республика Татарстан</w:t>
            </w:r>
            <w:r>
              <w:rPr>
                <w:rFonts w:ascii="Times New Roman" w:hAnsi="Times New Roman" w:eastAsia="SimSun" w:cs="Times New Roman"/>
                <w:sz w:val="28"/>
                <w:szCs w:val="20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Исполнительный комитет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val="tt-RU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val="tt-RU" w:eastAsia="zh-CN"/>
              </w:rPr>
              <w:t xml:space="preserve">Пестречинского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val="tt-RU"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муниципального района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lang w:eastAsia="zh-CN"/>
              </w:rPr>
              <w:t xml:space="preserve">422770, с. Пестрецы, ул. Советская, 18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sz w:val="18"/>
                <w:szCs w:val="18"/>
                <w:lang w:val="en-US" w:eastAsia="zh-CN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rPr>
                <w:rFonts w:ascii="Arial" w:hAnsi="Arial" w:eastAsia="SimSun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hAnsi="Arial" w:eastAsia="SimSun" w:cs="Arial"/>
                <w:b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28700" cy="1089660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28700" cy="1089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81.00pt;height:85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Arial" w:hAnsi="Arial" w:eastAsia="SimSun" w:cs="Arial"/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gridSpan w:val="2"/>
            <w:tcW w:w="4392" w:type="dxa"/>
            <w:textDirection w:val="lrTb"/>
            <w:noWrap w:val="false"/>
          </w:tcPr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Республикасы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val="tt-RU" w:eastAsia="zh-CN"/>
              </w:rPr>
              <w:t xml:space="preserve">Питрәч муни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ципаль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районы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башкарма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  <w:r>
              <w:rPr>
                <w:rFonts w:ascii="Times New Roman" w:hAnsi="Times New Roman" w:eastAsia="SimSun" w:cs="Times New Roman"/>
                <w:b/>
                <w:bCs/>
                <w:sz w:val="32"/>
                <w:szCs w:val="32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lang w:eastAsia="zh-CN"/>
              </w:rPr>
              <w:t xml:space="preserve">422770, 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Питр</w:t>
            </w:r>
            <w:r>
              <w:rPr>
                <w:rFonts w:ascii="Times New Roman" w:hAnsi="Times New Roman" w:eastAsia="SimSun" w:cs="Times New Roman"/>
                <w:lang w:val="tt-RU" w:eastAsia="zh-CN"/>
              </w:rPr>
              <w:t xml:space="preserve">ә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ч 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авылы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, Совет 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урамы</w:t>
            </w:r>
            <w:r>
              <w:rPr>
                <w:rFonts w:ascii="Times New Roman" w:hAnsi="Times New Roman" w:eastAsia="SimSun" w:cs="Times New Roman"/>
                <w:lang w:eastAsia="zh-CN"/>
              </w:rPr>
              <w:t xml:space="preserve">, 18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</w:r>
          </w:p>
          <w:p>
            <w:pPr>
              <w:ind w:left="432" w:hanging="432"/>
              <w:jc w:val="center"/>
              <w:spacing w:after="0"/>
              <w:rPr>
                <w:rFonts w:ascii="Times New Roman" w:hAnsi="Times New Roman" w:eastAsia="SimSu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/>
              </w:rPr>
            </w:r>
          </w:p>
        </w:tc>
      </w:tr>
      <w:tr>
        <w:tblPrEx/>
        <w:trPr>
          <w:gridAfter w:val="1"/>
          <w:gridBefore w:val="1"/>
          <w:trHeight w:val="286"/>
        </w:trPr>
        <w:tc>
          <w:tcPr>
            <w:gridSpan w:val="3"/>
            <w:tcW w:w="10116" w:type="dxa"/>
            <w:textDirection w:val="lrTb"/>
            <w:noWrap w:val="false"/>
          </w:tcPr>
          <w:p>
            <w:pPr>
              <w:ind w:right="-1339"/>
              <w:jc w:val="center"/>
              <w:spacing w:after="0"/>
              <w:rPr>
                <w:rFonts w:ascii="Verdana" w:hAnsi="Verdana" w:eastAsia="SimSun" w:cs="Arial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тел. +7 (84367) 3-02-02</w:t>
            </w:r>
            <w:r>
              <w:rPr>
                <w:rFonts w:ascii="Times New Roman" w:hAnsi="Times New Roman" w:eastAsia="SimSun" w:cs="Times New Roman"/>
                <w:sz w:val="20"/>
                <w:szCs w:val="24"/>
                <w:lang w:eastAsia="zh-CN"/>
              </w:rPr>
              <w:t xml:space="preserve"> факс: (84367) 3-02-01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/>
              </w:rPr>
              <w:t xml:space="preserve">E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-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val="en-US" w:eastAsia="zh-CN"/>
              </w:rPr>
              <w:t xml:space="preserve">mail</w:t>
            </w:r>
            <w:r>
              <w:rPr>
                <w:rFonts w:ascii="Times New Roman" w:hAnsi="Times New Roman" w:eastAsia="SimSun" w:cs="Times New Roman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zh-CN"/>
              </w:rPr>
              <w:t xml:space="preserve">pitriash@tatar.r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val="en-US" w:eastAsia="zh-CN"/>
              </w:rPr>
              <w:t xml:space="preserve">u</w:t>
            </w:r>
            <w:r>
              <w:rPr>
                <w:rFonts w:ascii="Verdana" w:hAnsi="Verdana" w:eastAsia="SimSun" w:cs="Arial"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Verdana" w:hAnsi="Verdana" w:eastAsia="SimSun" w:cs="Arial"/>
                <w:bCs/>
                <w:sz w:val="24"/>
                <w:szCs w:val="24"/>
                <w:lang w:eastAsia="zh-CN"/>
              </w:rPr>
              <w:t xml:space="preserve">                                       </w:t>
            </w:r>
            <w:r>
              <w:rPr>
                <w:rFonts w:ascii="Verdana" w:hAnsi="Verdana" w:eastAsia="SimSun" w:cs="Arial"/>
                <w:bCs/>
                <w:sz w:val="24"/>
                <w:szCs w:val="24"/>
                <w:lang w:eastAsia="zh-CN"/>
              </w:rPr>
            </w:r>
          </w:p>
        </w:tc>
      </w:tr>
    </w:tbl>
    <w:p>
      <w:pPr>
        <w:ind w:left="-360" w:right="282"/>
        <w:jc w:val="center"/>
        <w:spacing w:after="0" w:line="240" w:lineRule="auto"/>
        <w:rPr>
          <w:rFonts w:ascii="Times New Roman" w:hAnsi="Times New Roman" w:eastAsia="SimSun" w:cs="Times New Roman"/>
          <w:b/>
          <w:sz w:val="16"/>
          <w:szCs w:val="16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33020</wp:posOffset>
                </wp:positionV>
                <wp:extent cx="7101840" cy="0"/>
                <wp:effectExtent l="0" t="19050" r="3810" b="19050"/>
                <wp:wrapNone/>
                <wp:docPr id="2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0184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71.3pt,2.6pt" to="487.9pt,2.6pt" filled="f" strokecolor="#000000" strokeweight="3.50pt"/>
            </w:pict>
          </mc:Fallback>
        </mc:AlternateContent>
      </w:r>
      <w:r>
        <w:rPr>
          <w:rFonts w:ascii="Times New Roman" w:hAnsi="Times New Roman" w:eastAsia="SimSun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SimSun" w:cs="Times New Roman"/>
          <w:b/>
          <w:sz w:val="16"/>
          <w:szCs w:val="16"/>
          <w:lang w:eastAsia="zh-CN"/>
        </w:rPr>
      </w:r>
    </w:p>
    <w:p>
      <w:pPr>
        <w:ind w:left="-360" w:right="282"/>
        <w:spacing w:after="0" w:line="240" w:lineRule="auto"/>
        <w:rPr>
          <w:rFonts w:ascii="Times New Roman" w:hAnsi="Times New Roman" w:eastAsia="SimSun" w:cs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 xml:space="preserve">ПОСТАНОВЛЕНИЕ</w:t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</w:r>
      <w:r>
        <w:rPr>
          <w:rFonts w:ascii="Times New Roman" w:hAnsi="Times New Roman" w:eastAsia="SimSun" w:cs="Times New Roman"/>
          <w:b/>
          <w:sz w:val="32"/>
          <w:szCs w:val="32"/>
          <w:lang w:eastAsia="zh-CN"/>
        </w:rPr>
        <w:tab/>
        <w:t xml:space="preserve">КАРАР</w:t>
      </w:r>
      <w:r>
        <w:rPr>
          <w:rFonts w:ascii="Times New Roman" w:hAnsi="Times New Roman" w:eastAsia="SimSun" w:cs="Times New Roman"/>
          <w:b/>
          <w:sz w:val="16"/>
          <w:szCs w:val="16"/>
          <w:lang w:val="en-US" w:eastAsia="zh-CN"/>
        </w:rPr>
      </w:r>
    </w:p>
    <w:p>
      <w:pPr>
        <w:ind w:left="-360"/>
        <w:jc w:val="center"/>
        <w:spacing w:after="0" w:line="240" w:lineRule="auto"/>
        <w:rPr>
          <w:rFonts w:ascii="Times New Roman" w:hAnsi="Times New Roman" w:eastAsia="SimSun" w:cs="Times New Roman"/>
          <w:sz w:val="16"/>
          <w:szCs w:val="16"/>
          <w:lang w:val="en-US" w:eastAsia="zh-CN"/>
        </w:rPr>
      </w:pPr>
      <w:r>
        <w:rPr>
          <w:rFonts w:ascii="Times New Roman" w:hAnsi="Times New Roman" w:eastAsia="SimSun" w:cs="Times New Roman"/>
          <w:sz w:val="16"/>
          <w:szCs w:val="16"/>
          <w:lang w:val="en-US" w:eastAsia="zh-CN"/>
        </w:rPr>
      </w:r>
      <w:r>
        <w:rPr>
          <w:rFonts w:ascii="Times New Roman" w:hAnsi="Times New Roman" w:eastAsia="SimSun" w:cs="Times New Roman"/>
          <w:sz w:val="16"/>
          <w:szCs w:val="16"/>
          <w:lang w:val="en-US" w:eastAsia="zh-CN"/>
        </w:rPr>
      </w:r>
    </w:p>
    <w:p>
      <w:pPr>
        <w:ind w:left="-709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от «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»_______________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2025г.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ab/>
        <w:t xml:space="preserve">          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№_______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zh-CN"/>
        </w:rPr>
      </w:pP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  <w:r>
        <w:rPr>
          <w:rFonts w:ascii="Times New Roman" w:hAnsi="Times New Roman" w:eastAsia="SimSun" w:cs="Times New Roman"/>
          <w:sz w:val="24"/>
          <w:szCs w:val="24"/>
          <w:lang w:eastAsia="zh-CN"/>
        </w:rPr>
      </w:r>
    </w:p>
    <w:p>
      <w:pPr>
        <w:ind w:left="-709" w:right="4961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внесении изменений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Исполнительного комитета Пестречинского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8 декабря 2025 г.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 926</w:t>
      </w:r>
      <w:r>
        <w:rPr>
          <w:rFonts w:hint="eastAsia" w:ascii="MS Mincho" w:hAnsi="MS Mincho" w:eastAsia="MS Mincho" w:cs="MS Mincho"/>
          <w:color w:val="000000"/>
          <w:sz w:val="28"/>
          <w:szCs w:val="28"/>
          <w:lang w:eastAsia="ru-RU"/>
        </w:rPr>
        <w:t xml:space="preserve">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утверждении тарифов на жилищные услуги для населения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по муниципальному образованию «Пестречинский муниципальный район Республики Татарстан»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709" w:right="524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-851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Исполнительный комитет Пестречинского муниципального района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постановляет: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851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Внести изменения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остановлени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Исполнительного комитета Пестречинского муниципального района Республики Татарстан от 8 декабря 2025 г. № 926</w:t>
      </w:r>
      <w:r>
        <w:rPr>
          <w:rFonts w:hint="eastAsia" w:ascii="MS Mincho" w:hAnsi="MS Mincho" w:eastAsia="MS Mincho" w:cs="MS Mincho"/>
          <w:color w:val="000000"/>
          <w:sz w:val="28"/>
          <w:szCs w:val="28"/>
          <w:lang w:eastAsia="ru-RU"/>
        </w:rPr>
        <w:t xml:space="preserve">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утверждении тарифов на жилищные услуги для населения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по муниципальному образованию «Пестречинский муниципальный район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приложение №1 изложи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редакции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прилагаемой к настоящему постановлению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851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 Обнародовать настоящее постановление на официальном портале правовой информации Республики Татарстан в информационно</w:t>
      </w:r>
      <w:r>
        <w:rPr>
          <w:rFonts w:hint="eastAsia" w:ascii="MS Mincho" w:hAnsi="MS Mincho" w:eastAsia="MS Mincho" w:cs="MS Mincho"/>
          <w:color w:val="000000"/>
          <w:sz w:val="28"/>
          <w:szCs w:val="28"/>
          <w:lang w:eastAsia="ru-RU"/>
        </w:rPr>
        <w:t xml:space="preserve">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телекоммуникационной сети «Интернет» по адресу: https://pravo.tatarstan.ru и на официальном сайте Пестречинского муниципального района в информационно</w:t>
      </w:r>
      <w:r>
        <w:rPr>
          <w:rFonts w:hint="eastAsia" w:ascii="MS Mincho" w:hAnsi="MS Mincho" w:eastAsia="MS Mincho" w:cs="MS Mincho"/>
          <w:color w:val="000000"/>
          <w:sz w:val="28"/>
          <w:szCs w:val="28"/>
          <w:lang w:eastAsia="ru-RU"/>
        </w:rPr>
        <w:t xml:space="preserve">‑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телекоммуникационной сети «Интернет» по адресу: https://www.pestreci.tatarstan.ru.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851" w:firstLine="708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ервого заместителя руководителя Исполнительного комитета Пестречинского муниципального района.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Р.Р.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Хасбеева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851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-851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-851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уководитель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851" w:right="-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И.Р.Давлетханов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 РТ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6" w:right="-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«___»______202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г.№____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Размер платы за содержание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жилых помещений для нанимателей жилых помещений по договорам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социального найма и договорам найма жилых помещений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государственного или муниципального жилищного фонда, а также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многоквартирных домах, не принявших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решения о выборе способа управления многоквартирным домом и (или)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spacing w:after="0" w:line="240" w:lineRule="auto"/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/>
        </w:rPr>
        <w:t xml:space="preserve">на общем собрании решения об установлении размера платы</w:t>
      </w:r>
      <w:r>
        <w:rPr>
          <w:rFonts w:ascii="Times New Roman" w:hAnsi="Times New Roman" w:eastAsia="Microsoft Sans Serif" w:cs="Times New Roman"/>
          <w:color w:val="000000"/>
          <w:sz w:val="28"/>
          <w:szCs w:val="28"/>
          <w:lang w:eastAsia="ru-RU"/>
        </w:rPr>
      </w:r>
    </w:p>
    <w:p>
      <w:pPr>
        <w:ind w:right="-1"/>
        <w:jc w:val="center"/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 w:bidi="ru-RU"/>
        </w:rPr>
        <w:t xml:space="preserve">за содержание жилых помещений, по видам услуг с 01.01.202</w:t>
      </w: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 w:bidi="ru-RU"/>
        </w:rPr>
        <w:t xml:space="preserve">6</w:t>
      </w:r>
      <w:r>
        <w:rPr>
          <w:rFonts w:ascii="Times New Roman" w:hAnsi="Times New Roman" w:eastAsia="Microsoft Sans Serif" w:cs="Times New Roman"/>
          <w:b/>
          <w:bCs/>
          <w:color w:val="000000"/>
          <w:sz w:val="28"/>
          <w:szCs w:val="28"/>
          <w:lang w:eastAsia="ru-RU" w:bidi="ru-RU"/>
        </w:rPr>
      </w:r>
    </w:p>
    <w:tbl>
      <w:tblPr>
        <w:tblStyle w:val="668"/>
        <w:tblW w:w="108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521"/>
        <w:gridCol w:w="1701"/>
        <w:gridCol w:w="1808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/п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Наименование платежа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Единица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измерения, за которую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взимается плата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Тариф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единицу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измерения</w:t>
            </w: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right="-1"/>
              <w:jc w:val="both"/>
              <w:spacing w:after="0" w:line="240" w:lineRule="auto"/>
              <w:tabs>
                <w:tab w:val="left" w:pos="99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</w:rPr>
              <w:t xml:space="preserve">услуги (руб.)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3"/>
                <w:szCs w:val="23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3"/>
                <w:szCs w:val="23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3"/>
                <w:szCs w:val="23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bCs/>
                <w:color w:val="000000"/>
                <w:sz w:val="23"/>
                <w:szCs w:val="23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Управление многоквартирным домом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месяц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5,50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Санитарное содержание мест общего пользования, а также земельного участка, входящих в состав общего имущества, в том числе: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- уборка внутридомовых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мест общего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пользования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-уборка мест придомовой территории;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-дератизация (дезинсекция);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-содержание контейнерных площадок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месяц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3,60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4,40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0,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tbl>
            <w:tblPr>
              <w:tblW w:w="664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45"/>
            </w:tblGrid>
            <w:tr>
              <w:tblPrEx/>
              <w:trPr>
                <w:trHeight w:val="6940"/>
              </w:trPr>
              <w:tc>
                <w:tcPr>
                  <w:tcBorders>
                    <w:bottom w:val="none" w:color="000000" w:sz="4" w:space="0"/>
                  </w:tcBorders>
                  <w:tcW w:w="6645" w:type="dxa"/>
                  <w:textDirection w:val="lrTb"/>
                  <w:noWrap w:val="false"/>
                </w:tcPr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Техническое обслуживание и ремонт строительных конструкций, инженерных систем зданий и иного общедомового имущества, в том числе: 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-жилого здания;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-лифтов;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- систем коллективного приема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 т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  <w:t xml:space="preserve">елевидения</w:t>
                  </w:r>
                  <w:r>
                    <w:rPr>
                      <w:rFonts w:ascii="Times New Roman" w:hAnsi="Times New Roman" w:eastAsia="Calibri" w:cs="Times New Roman"/>
                      <w:color w:val="000000"/>
                      <w:sz w:val="28"/>
                      <w:szCs w:val="28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внутридомовых систем водоснабжения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коллективными  (общедомовыми)  приборами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учета;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коллективным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(общедомовым)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прибором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холодного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водоснабжения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 (общедомовым) прибором 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горячего водоснабжения;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 не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коллективным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(общедомовым)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прибором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холодного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водоснабжения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 (общедомовым) прибором 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горячего водоснабжения;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коллективными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(общедомовыми) приборами учета холодного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горячего водоснабжения;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коллективным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(общедомовым)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прибором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холодного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водоснабжения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теплообменным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оборудованием;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коллективным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(общедомовым)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прибором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холодного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водоснабжения,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теплообменным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оборудованием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повысительной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насосной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станцией;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коллективными  (общедомовыми)  приборами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повысительной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насосной станцией;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внутридомовых  систем  водоснабжения  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коллективными  (общедомовыми)  приборами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теплообменным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оборудованием;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  внутридо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мовых  систем  водоснабжения  и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канализации,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коллективными  (общедомовыми)  приборами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учета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теплообменным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оборудованием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повысительной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насосной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станцией;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внутридомовых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центрального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отопления, не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коллективными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(общедомовыми) приборами учета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тепловой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энергии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автоматического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регулирования расхода тепла;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внутридомовых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центрального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отопления, не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 коллективными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(общедомовыми) приборами учета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тепловой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энергии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автоматического регулирования расхода тепла;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внутридомовых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центрального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отопления,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коллективными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(общедомовыми) приборами учета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тепловой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энергии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не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автоматического регулирования расхода тепла;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-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внутридомовых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центрального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отопления,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оборудованных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коллективными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(общедомовыми) приборами учета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тепловой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энергии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  <w:t xml:space="preserve">системами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ab/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автоматического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регулирования расхода тепла;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  <w:t xml:space="preserve">внутридомовых систем водоснабжения с системой канализацией (ЖБО);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 w:bidi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-внутридомовых систем центрального отопления;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-внутридомовых сетей электроснабжения и электрооборудования;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-внутридомовых систем газового оборудования в многоквартирных домах;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-вентиляционных каналов;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-дымоходов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систем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  <w:t xml:space="preserve">автоматической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ab/>
                    <w:t xml:space="preserve">пожарной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сигнализации 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внутреннего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противопожарного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водопровода;</w:t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  <w:p>
                  <w:pPr>
                    <w:ind w:right="-1"/>
                    <w:spacing w:after="0" w:line="240" w:lineRule="auto"/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  <w:r>
                    <w:rPr>
                      <w:rFonts w:ascii="Times New Roman" w:hAnsi="Times New Roman" w:eastAsia="Microsoft Sans Serif" w:cs="Times New Roman"/>
                      <w:color w:val="000000"/>
                      <w:sz w:val="28"/>
                      <w:szCs w:val="28"/>
                      <w:lang w:eastAsia="ru-RU"/>
                    </w:rPr>
                  </w:r>
                </w:p>
              </w:tc>
            </w:tr>
          </w:tbl>
          <w:p>
            <w:pPr>
              <w:ind w:right="-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общей площади жилого помещения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месяц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5,20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0,62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2,63;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3,4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4,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tabs>
                <w:tab w:val="left" w:pos="408" w:leader="none"/>
                <w:tab w:val="center" w:pos="796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15"/>
        </w:trPr>
        <w:tc>
          <w:tcPr>
            <w:tcW w:w="850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месяц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0,32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715"/>
        </w:trPr>
        <w:tc>
          <w:tcPr>
            <w:tcW w:w="850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Вывоз ЖБО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С 1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кв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 общей площади жилого помещения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  <w:p>
            <w:pPr>
              <w:ind w:right="-1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в месяц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ind w:right="-1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</w:p>
        </w:tc>
      </w:tr>
    </w:tbl>
    <w:p>
      <w:pPr>
        <w:ind w:right="-1"/>
        <w:rPr>
          <w:rFonts w:ascii="Times New Roman" w:hAnsi="Times New Roman" w:eastAsia="Microsoft Sans Serif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eastAsia="Microsoft Sans Serif" w:cs="Times New Roman"/>
          <w:color w:val="000000"/>
          <w:sz w:val="24"/>
          <w:szCs w:val="24"/>
          <w:lang w:eastAsia="ru-RU" w:bidi="ru-RU"/>
        </w:rPr>
        <w:t xml:space="preserve">Примечание. Тарифы установлены с учетом налога на добавленную стоимость.</w:t>
      </w:r>
      <w:r>
        <w:rPr>
          <w:rFonts w:ascii="Times New Roman" w:hAnsi="Times New Roman" w:eastAsia="Microsoft Sans Serif" w:cs="Times New Roman"/>
          <w:color w:val="000000"/>
          <w:sz w:val="24"/>
          <w:szCs w:val="24"/>
          <w:lang w:eastAsia="ru-RU" w:bidi="ru-RU"/>
        </w:rPr>
      </w:r>
    </w:p>
    <w:p>
      <w:pPr>
        <w:ind w:firstLine="5954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954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954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954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09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сполнительного комитета Пестречинско</w:t>
      </w:r>
      <w:r>
        <w:rPr>
          <w:rFonts w:ascii="Times New Roman" w:hAnsi="Times New Roman" w:cs="Times New Roman"/>
          <w:sz w:val="28"/>
          <w:szCs w:val="28"/>
        </w:rPr>
        <w:t xml:space="preserve">го                                                                                                                               муниципального района РТ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09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2025 г.  №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Тарифы на 1 помывку в  общественной  бане Пестречинского муниципального района на 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006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60"/>
        <w:gridCol w:w="2331"/>
        <w:gridCol w:w="2729"/>
        <w:gridCol w:w="2946"/>
      </w:tblGrid>
      <w:tr>
        <w:tblPrEx/>
        <w:trPr>
          <w:trHeight w:val="1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Населенные пункты, где расположены общественные бани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31" w:type="dxa"/>
            <w:vAlign w:val="center"/>
            <w:textDirection w:val="lrTb"/>
            <w:noWrap w:val="false"/>
          </w:tcPr>
          <w:p>
            <w:pPr>
              <w:ind w:lef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коммунального комплекса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29" w:type="dxa"/>
            <w:vAlign w:val="center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граждан, в отношении которых действуют тарифы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 в руб. за 1 помывку*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9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3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(Тарифы установлены в целях реализации п.1 Концессионного соглашения от 1.07.2019г.)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(граждане), зарегистрированные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8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0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33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1 группы,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до 7 лет, зарегистрированные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6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6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1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2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2 группы, труженики тыла, пенсионеры, зарегистрированные на территории Пестречинского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113,36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134" w:firstLine="708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* Продолжительность 1 помывки одного человека не более 1,5 часа. Действие тарифов осуществляется один раз в неделю в воскресенье. 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821" w:firstLine="708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529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сполнительного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комитета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муниципального района РТ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«___»______202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Расчет размера платы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за наем в соответствии с Положением о порядке расчета размера платы за пользование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Пестречинского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района Республики Татарстан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Размер платы за наем рассчитывается по формуле: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К1 + К2 + К3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Нбаз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х ——————— 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х S,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размер платы за пользование жилым помещением (платы за наем);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Нбаз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базовый размер платы за наем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жилого помещения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Пестречинском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муниципальном районе Республики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Татарстан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134,50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Ксп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коэффициент соответствия платы: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договорам социального найма – 0,071;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 договорам найма жилых помещений государственного или муниципального жилищного фонда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Пестречинского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муниципального района Республики Татарстан – 0,071;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S – общая площадь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кв.м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К1 определяется по следующей формуле: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Км +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+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К1 = ——————————,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К1, К2, К3, Км,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Ксв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Кпл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– коэффициенты, указанные в таблице.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5218"/>
        <w:gridCol w:w="2789"/>
      </w:tblGrid>
      <w:tr>
        <w:tblPrEx/>
        <w:trPr>
          <w:trHeight w:val="46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Коэффициент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Потребительские свойства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Значение коэффициента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60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56" w:hRule="exact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Коэффициенты, характеризующие качество жилого помещения (К1)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41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Материал стен: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98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кирпичный, каменный;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7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блочный, крупнопанельный;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1,1;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2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смешанный или деревянный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Сроки ввода домов: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 2011 года;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35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 1991 по 2010 год;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1,2;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60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Ксв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 1971 по 1990 год;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1,0;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7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 1951 по 1970 год;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0,9;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609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до 1950 года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36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Планировка жилого помещения: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улучшенная;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Кпл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стандартная;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1,1;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нестандартная (в том числе коммунальная,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50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гостиничного и барачного типа, общежитие)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54" w:hRule="exact"/>
        </w:trPr>
        <w:tc>
          <w:tcPr>
            <w:gridSpan w:val="3"/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963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Коэффициент, характеризующий благоустройство жилого помещения (К2)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7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жилого помещения: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7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все виды благоустройства: наличие услуг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1,3;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2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холодного, горячего водоснабжения,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83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централизованного водоотведения, отопления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7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(за исключением печного), электроснабжения;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2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отсутствие одного вида благоустройства;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1,0;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98" w:hRule="exact"/>
        </w:trPr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отсутствие более одного вида благоустройства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0,8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12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Коэффициент, характеризующий месторасположение дома (К3)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85" w:hRule="exact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632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218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Месторасположение: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Населенный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пункты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Пестречинского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муниципального района: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8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1,3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851" w:left="1701" w:header="113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S Mincho">
    <w:panose1 w:val="02020503050405090304"/>
  </w:font>
  <w:font w:name="Verdana">
    <w:panose1 w:val="020B0604030504040204"/>
  </w:font>
  <w:font w:name="SimSun">
    <w:panose1 w:val="02010600030101010101"/>
  </w:font>
  <w:font w:name="Microsoft Sans Serif">
    <w:panose1 w:val="020B060402020202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9"/>
    <w:uiPriority w:val="99"/>
  </w:style>
  <w:style w:type="character" w:styleId="45">
    <w:name w:val="Footer Char"/>
    <w:basedOn w:val="654"/>
    <w:link w:val="661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200" w:line="276" w:lineRule="auto"/>
    </w:pPr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table" w:styleId="657">
    <w:name w:val="Table Grid"/>
    <w:basedOn w:val="655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 w:customStyle="1">
    <w:name w:val="Plain Table 4"/>
    <w:basedOn w:val="655"/>
    <w:uiPriority w:val="44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2f2f2" w:themeFill="background1" w:themeFillShade="F2"/>
      </w:tcPr>
    </w:tblStylePr>
    <w:tblStylePr w:type="band1Vert">
      <w:tcPr>
        <w:shd w:val="clear" w:color="auto" w:fill="f2f2f2" w:themeFill="background1" w:themeFillShade="F2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</w:tblStylePr>
  </w:style>
  <w:style w:type="paragraph" w:styleId="659">
    <w:name w:val="Header"/>
    <w:basedOn w:val="653"/>
    <w:link w:val="6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0" w:customStyle="1">
    <w:name w:val="Верхний колонтитул Знак"/>
    <w:basedOn w:val="654"/>
    <w:link w:val="659"/>
    <w:uiPriority w:val="99"/>
  </w:style>
  <w:style w:type="paragraph" w:styleId="661">
    <w:name w:val="Footer"/>
    <w:basedOn w:val="653"/>
    <w:link w:val="6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2" w:customStyle="1">
    <w:name w:val="Нижний колонтитул Знак"/>
    <w:basedOn w:val="654"/>
    <w:link w:val="661"/>
    <w:uiPriority w:val="99"/>
  </w:style>
  <w:style w:type="character" w:styleId="663">
    <w:name w:val="Hyperlink"/>
    <w:basedOn w:val="654"/>
    <w:uiPriority w:val="99"/>
    <w:unhideWhenUsed/>
    <w:rPr>
      <w:color w:val="0563c1" w:themeColor="hyperlink"/>
      <w:u w:val="single"/>
    </w:rPr>
  </w:style>
  <w:style w:type="character" w:styleId="664" w:customStyle="1">
    <w:name w:val="Основной текст (2)_"/>
    <w:basedOn w:val="654"/>
    <w:link w:val="665"/>
    <w:rPr>
      <w:rFonts w:ascii="Times New Roman" w:hAnsi="Times New Roman" w:eastAsia="Times New Roman" w:cs="Times New Roman"/>
      <w:sz w:val="20"/>
      <w:szCs w:val="20"/>
      <w:shd w:val="clear" w:color="auto" w:fill="ffffff"/>
    </w:rPr>
  </w:style>
  <w:style w:type="paragraph" w:styleId="665" w:customStyle="1">
    <w:name w:val="Основной текст (2)"/>
    <w:basedOn w:val="653"/>
    <w:link w:val="664"/>
    <w:pPr>
      <w:jc w:val="both"/>
      <w:spacing w:after="0" w:line="223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666">
    <w:name w:val="Balloon Text"/>
    <w:basedOn w:val="653"/>
    <w:link w:val="6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67" w:customStyle="1">
    <w:name w:val="Текст выноски Знак"/>
    <w:basedOn w:val="654"/>
    <w:link w:val="666"/>
    <w:uiPriority w:val="99"/>
    <w:semiHidden/>
    <w:rPr>
      <w:rFonts w:ascii="Segoe UI" w:hAnsi="Segoe UI" w:cs="Segoe UI"/>
      <w:sz w:val="18"/>
      <w:szCs w:val="18"/>
    </w:rPr>
  </w:style>
  <w:style w:type="table" w:styleId="668" w:customStyle="1">
    <w:name w:val="Сетка таблицы1"/>
    <w:basedOn w:val="655"/>
    <w:next w:val="6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69">
    <w:name w:val="List Paragraph"/>
    <w:basedOn w:val="653"/>
    <w:uiPriority w:val="34"/>
    <w:qFormat/>
    <w:pPr>
      <w:contextualSpacing/>
      <w:ind w:left="720"/>
    </w:pPr>
  </w:style>
  <w:style w:type="paragraph" w:styleId="670" w:customStyle="1">
    <w:name w:val="Table Paragraph"/>
    <w:basedOn w:val="653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5D81-7B45-4C9E-A3A4-9F002C77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SlashSysAdmPC</dc:creator>
  <cp:lastModifiedBy>ICL</cp:lastModifiedBy>
  <cp:revision>8</cp:revision>
  <dcterms:created xsi:type="dcterms:W3CDTF">2025-12-23T10:39:00Z</dcterms:created>
  <dcterms:modified xsi:type="dcterms:W3CDTF">2025-12-25T11:08:04Z</dcterms:modified>
</cp:coreProperties>
</file>