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center" w:vertAnchor="margin" w:tblpY="-915" w:leftFromText="180" w:topFromText="0" w:rightFromText="180" w:bottomFromText="0"/>
        <w:tblW w:w="10875" w:type="dxa"/>
        <w:tblLayout w:type="fixed"/>
        <w:tblLook w:val="01E0" w:firstRow="1" w:lastRow="1" w:firstColumn="1" w:lastColumn="1" w:noHBand="0" w:noVBand="0"/>
      </w:tblPr>
      <w:tblGrid>
        <w:gridCol w:w="4288"/>
        <w:gridCol w:w="2195"/>
        <w:gridCol w:w="3411"/>
        <w:gridCol w:w="981"/>
      </w:tblGrid>
      <w:tr>
        <w:tblPrEx/>
        <w:trPr>
          <w:trHeight w:val="2113"/>
        </w:trPr>
        <w:tc>
          <w:tcPr>
            <w:tcW w:w="4288" w:type="dxa"/>
            <w:textDirection w:val="lrTb"/>
            <w:noWrap w:val="false"/>
          </w:tcPr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</w:r>
            <w:r>
              <w:rPr>
                <w:b/>
                <w:bCs/>
                <w:sz w:val="32"/>
                <w:szCs w:val="32"/>
                <w:lang w:val="en-US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Республика Татарстан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Исполнительный комитет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Пестречинского</w:t>
            </w:r>
            <w:r>
              <w:rPr>
                <w:b/>
                <w:bCs/>
                <w:sz w:val="32"/>
                <w:szCs w:val="32"/>
                <w:lang w:val="tt-RU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муниципального района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с. Пестрецы, ул. Советская, 18</w:t>
            </w:r>
            <w:r/>
          </w:p>
          <w:p>
            <w:pPr>
              <w:ind w:left="432" w:hanging="432"/>
              <w:jc w:val="center"/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2195" w:type="dxa"/>
            <w:vAlign w:val="center"/>
            <w:textDirection w:val="lrTb"/>
            <w:noWrap w:val="false"/>
          </w:tcPr>
          <w:p>
            <w:pPr>
              <w:ind w:left="432" w:hanging="432"/>
              <w:jc w:val="center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28700" cy="108585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8700" cy="1085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1.00pt;height:85.5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gridSpan w:val="2"/>
            <w:tcW w:w="4392" w:type="dxa"/>
            <w:textDirection w:val="lrTb"/>
            <w:noWrap w:val="false"/>
          </w:tcPr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 xml:space="preserve">Проект </w:t>
            </w:r>
            <w:r>
              <w:rPr>
                <w:b/>
                <w:bCs/>
                <w:sz w:val="32"/>
                <w:szCs w:val="32"/>
                <w:lang w:val="en-US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</w:t>
            </w:r>
            <w:r>
              <w:rPr>
                <w:b/>
                <w:bCs/>
                <w:sz w:val="32"/>
                <w:szCs w:val="32"/>
              </w:rPr>
              <w:t xml:space="preserve">Республикасы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Питрәч муни</w:t>
            </w:r>
            <w:r>
              <w:rPr>
                <w:b/>
                <w:bCs/>
                <w:sz w:val="32"/>
                <w:szCs w:val="32"/>
              </w:rPr>
              <w:t xml:space="preserve">ципаль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районы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башкарма</w:t>
            </w:r>
            <w:r>
              <w:rPr>
                <w:b/>
                <w:bCs/>
                <w:sz w:val="32"/>
                <w:szCs w:val="32"/>
              </w:rPr>
              <w:t xml:space="preserve"> комитеты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</w:t>
            </w:r>
            <w:r>
              <w:rPr>
                <w:sz w:val="22"/>
                <w:szCs w:val="22"/>
              </w:rPr>
              <w:t xml:space="preserve">Питр</w:t>
            </w:r>
            <w:r>
              <w:rPr>
                <w:sz w:val="22"/>
                <w:szCs w:val="22"/>
                <w:lang w:val="tt-RU"/>
              </w:rPr>
              <w:t xml:space="preserve">ә</w:t>
            </w:r>
            <w:r>
              <w:rPr>
                <w:sz w:val="22"/>
                <w:szCs w:val="22"/>
              </w:rPr>
              <w:t xml:space="preserve">ч </w:t>
            </w:r>
            <w:r>
              <w:rPr>
                <w:sz w:val="22"/>
                <w:szCs w:val="22"/>
              </w:rPr>
              <w:t xml:space="preserve">авылы</w:t>
            </w:r>
            <w:r>
              <w:rPr>
                <w:sz w:val="22"/>
                <w:szCs w:val="22"/>
              </w:rPr>
              <w:t xml:space="preserve">, Совет </w:t>
            </w:r>
            <w:r>
              <w:rPr>
                <w:sz w:val="22"/>
                <w:szCs w:val="22"/>
              </w:rPr>
              <w:t xml:space="preserve">урамы</w:t>
            </w:r>
            <w:r>
              <w:rPr>
                <w:sz w:val="22"/>
                <w:szCs w:val="22"/>
              </w:rPr>
              <w:t xml:space="preserve">, 18</w:t>
            </w:r>
            <w:r/>
          </w:p>
          <w:p>
            <w:pPr>
              <w:ind w:left="432" w:hanging="432"/>
              <w:jc w:val="center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gridAfter w:val="1"/>
          <w:trHeight w:val="286"/>
        </w:trPr>
        <w:tc>
          <w:tcPr>
            <w:gridSpan w:val="3"/>
            <w:tcW w:w="9894" w:type="dxa"/>
            <w:textDirection w:val="lrTb"/>
            <w:noWrap w:val="false"/>
          </w:tcPr>
          <w:p>
            <w:pPr>
              <w:ind w:right="-1339"/>
              <w:jc w:val="center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тел. +7 (84367) 3-02-02</w:t>
            </w:r>
            <w:r>
              <w:rPr>
                <w:sz w:val="20"/>
              </w:rPr>
              <w:t xml:space="preserve"> факс</w:t>
            </w:r>
            <w:r>
              <w:rPr>
                <w:sz w:val="20"/>
              </w:rPr>
              <w:t xml:space="preserve">:</w:t>
            </w:r>
            <w:r>
              <w:rPr>
                <w:sz w:val="20"/>
              </w:rPr>
              <w:t xml:space="preserve"> (84367) 3-02-01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E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  <w:lang w:val="en-US"/>
              </w:rPr>
              <w:t xml:space="preserve">mail</w:t>
            </w:r>
            <w:r>
              <w:rPr>
                <w:sz w:val="20"/>
                <w:szCs w:val="20"/>
              </w:rPr>
              <w:t xml:space="preserve">: </w:t>
            </w:r>
            <w:r>
              <w:t xml:space="preserve">pitriash@tatar.r</w:t>
            </w:r>
            <w:r>
              <w:rPr>
                <w:lang w:val="en-US"/>
              </w:rPr>
              <w:t xml:space="preserve"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  <w:r>
              <w:rPr>
                <w:sz w:val="20"/>
                <w:szCs w:val="20"/>
                <w:lang w:val="en-US"/>
              </w:rPr>
            </w:r>
          </w:p>
        </w:tc>
      </w:tr>
    </w:tbl>
    <w:p>
      <w:pPr>
        <w:ind w:left="-360"/>
        <w:jc w:val="center"/>
        <w:rPr>
          <w:b/>
          <w:sz w:val="16"/>
          <w:szCs w:val="16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1398270</wp:posOffset>
                </wp:positionV>
                <wp:extent cx="7117080" cy="0"/>
                <wp:effectExtent l="0" t="19050" r="762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59264;mso-wrap-distance-left:9.00pt;mso-wrap-distance-top:0.00pt;mso-wrap-distance-right:9.00pt;mso-wrap-distance-bottom:0.00pt;visibility:visible;" from="-49.6pt,110.1pt" to="510.8pt,110.1pt" filled="f" strokecolor="#000000" strokeweight="3.50pt"/>
            </w:pict>
          </mc:Fallback>
        </mc:AlternateContent>
      </w:r>
      <w:r>
        <w:rPr>
          <w:b/>
          <w:sz w:val="32"/>
          <w:szCs w:val="32"/>
          <w:lang w:val="en-US"/>
        </w:rPr>
        <w:t xml:space="preserve">  </w:t>
      </w:r>
      <w:r>
        <w:rPr>
          <w:b/>
          <w:sz w:val="16"/>
          <w:szCs w:val="16"/>
          <w:lang w:val="en-US"/>
        </w:rPr>
      </w:r>
    </w:p>
    <w:p>
      <w:pPr>
        <w:ind w:left="-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ПОСТАНОВЛЕНИЕ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КАРАР</w:t>
      </w:r>
      <w:r>
        <w:rPr>
          <w:b/>
          <w:sz w:val="32"/>
          <w:szCs w:val="32"/>
        </w:rPr>
      </w:r>
    </w:p>
    <w:p>
      <w:pPr>
        <w:ind w:left="-360"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от «____»____________20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№______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ind w:right="3542"/>
        <w:jc w:val="both"/>
        <w:tabs>
          <w:tab w:val="left" w:pos="6379" w:leader="none"/>
        </w:tabs>
        <w:rPr>
          <w:b w:val="0"/>
          <w:bCs/>
          <w:sz w:val="28"/>
          <w:szCs w:val="28"/>
        </w:rPr>
      </w:pPr>
      <w:r/>
      <w:bookmarkStart w:id="0" w:name="_GoBack"/>
      <w:r>
        <w:rPr>
          <w:b w:val="0"/>
          <w:sz w:val="28"/>
          <w:szCs w:val="28"/>
        </w:rPr>
        <w:t xml:space="preserve">О внесении изменений в постановление </w:t>
      </w:r>
      <w:r>
        <w:rPr>
          <w:b w:val="0"/>
          <w:sz w:val="28"/>
          <w:szCs w:val="28"/>
        </w:rPr>
        <w:t xml:space="preserve">Исполнительного комитета Пестречинского района </w:t>
      </w:r>
      <w:r>
        <w:rPr>
          <w:b w:val="0"/>
          <w:sz w:val="28"/>
          <w:szCs w:val="28"/>
        </w:rPr>
        <w:t xml:space="preserve">Республики Татарстан от </w:t>
      </w:r>
      <w:r>
        <w:rPr>
          <w:b w:val="0"/>
          <w:bCs/>
          <w:sz w:val="28"/>
          <w:szCs w:val="28"/>
        </w:rPr>
        <w:t xml:space="preserve">17.01.2022 года № 27 «Об изменении </w:t>
      </w:r>
      <w:r>
        <w:rPr>
          <w:b w:val="0"/>
          <w:bCs/>
          <w:sz w:val="28"/>
          <w:szCs w:val="28"/>
        </w:rPr>
        <w:t xml:space="preserve">условий оплаты труда работников отдельных организаций бюджетной</w:t>
      </w:r>
      <w:r>
        <w:rPr>
          <w:b w:val="0"/>
          <w:bCs/>
          <w:sz w:val="28"/>
          <w:szCs w:val="28"/>
        </w:rPr>
        <w:t xml:space="preserve"> сферы, на которые не распространяется Единая тарифная сетка по оплате труда работников бюджетной сферы Пестречинского муниципального района</w:t>
      </w:r>
      <w:r>
        <w:rPr>
          <w:b w:val="0"/>
          <w:bCs/>
          <w:sz w:val="28"/>
          <w:szCs w:val="28"/>
        </w:rPr>
        <w:t xml:space="preserve">»</w:t>
      </w:r>
      <w:bookmarkEnd w:id="0"/>
      <w:r>
        <w:rPr>
          <w:b w:val="0"/>
          <w:bCs/>
          <w:sz w:val="28"/>
          <w:szCs w:val="28"/>
        </w:rPr>
      </w:r>
    </w:p>
    <w:p>
      <w:pPr>
        <w:pStyle w:val="651"/>
        <w:ind w:right="3542"/>
        <w:jc w:val="both"/>
        <w:tabs>
          <w:tab w:val="left" w:pos="6379" w:leader="none"/>
        </w:tabs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</w:r>
      <w:r>
        <w:rPr>
          <w:b w:val="0"/>
          <w:bCs/>
          <w:sz w:val="28"/>
          <w:szCs w:val="28"/>
        </w:rPr>
      </w:r>
    </w:p>
    <w:p>
      <w:pPr>
        <w:pStyle w:val="651"/>
        <w:ind w:right="3542"/>
        <w:jc w:val="both"/>
        <w:spacing w:line="240" w:lineRule="auto"/>
        <w:tabs>
          <w:tab w:val="left" w:pos="637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ind w:right="0" w:firstLine="709"/>
        <w:jc w:val="both"/>
        <w:spacing w:line="240" w:lineRule="auto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В целях обеспечения социальных гарантий и упорядочения оплаты труда работников отдельных организаций бюджетной сферы, на которые не </w:t>
      </w:r>
      <w:r>
        <w:rPr>
          <w:b w:val="0"/>
          <w:bCs/>
          <w:sz w:val="28"/>
          <w:szCs w:val="28"/>
        </w:rPr>
        <w:t xml:space="preserve">распространяется Единая тарифная сетка по оплате труда работников бюджетной сферы и в соответствии с Постановлением Кабинета Министров Республики Татарстан от </w:t>
      </w:r>
      <w:r>
        <w:rPr>
          <w:b w:val="0"/>
          <w:bCs/>
          <w:sz w:val="28"/>
          <w:szCs w:val="28"/>
        </w:rPr>
        <w:t xml:space="preserve">25.11</w:t>
      </w:r>
      <w:r>
        <w:rPr>
          <w:b w:val="0"/>
          <w:bCs/>
          <w:sz w:val="28"/>
          <w:szCs w:val="28"/>
        </w:rPr>
        <w:t xml:space="preserve">.202</w:t>
      </w:r>
      <w:r>
        <w:rPr>
          <w:b w:val="0"/>
          <w:bCs/>
          <w:sz w:val="28"/>
          <w:szCs w:val="28"/>
        </w:rPr>
        <w:t xml:space="preserve">5</w:t>
      </w:r>
      <w:r>
        <w:rPr>
          <w:b w:val="0"/>
          <w:bCs/>
          <w:sz w:val="28"/>
          <w:szCs w:val="28"/>
        </w:rPr>
        <w:t xml:space="preserve"> года </w:t>
      </w:r>
      <w:r>
        <w:rPr>
          <w:b w:val="0"/>
          <w:bCs/>
          <w:sz w:val="28"/>
          <w:szCs w:val="28"/>
        </w:rPr>
        <w:t xml:space="preserve">№</w:t>
      </w:r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996</w:t>
      </w:r>
      <w:r>
        <w:rPr>
          <w:b w:val="0"/>
          <w:bCs/>
          <w:sz w:val="28"/>
          <w:szCs w:val="28"/>
        </w:rPr>
        <w:t xml:space="preserve">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</w:t>
      </w:r>
      <w:r>
        <w:rPr>
          <w:b w:val="0"/>
          <w:bCs/>
          <w:sz w:val="28"/>
          <w:szCs w:val="28"/>
        </w:rPr>
        <w:t xml:space="preserve"> работников бюджетной</w:t>
      </w:r>
      <w:r>
        <w:rPr>
          <w:b w:val="0"/>
          <w:bCs/>
          <w:sz w:val="28"/>
          <w:szCs w:val="28"/>
        </w:rPr>
        <w:t xml:space="preserve"> сферы»</w:t>
      </w:r>
      <w:r>
        <w:rPr>
          <w:b w:val="0"/>
          <w:bCs/>
          <w:sz w:val="28"/>
          <w:szCs w:val="28"/>
        </w:rPr>
        <w:t xml:space="preserve">, Исполнительный комитет </w:t>
      </w:r>
      <w:r>
        <w:rPr>
          <w:b w:val="0"/>
          <w:bCs/>
          <w:sz w:val="28"/>
          <w:szCs w:val="28"/>
        </w:rPr>
        <w:t xml:space="preserve">Пестречинского</w:t>
      </w:r>
      <w:r>
        <w:rPr>
          <w:b w:val="0"/>
          <w:bCs/>
          <w:sz w:val="28"/>
          <w:szCs w:val="28"/>
        </w:rPr>
        <w:t xml:space="preserve"> муниципального</w:t>
      </w:r>
      <w:r>
        <w:rPr>
          <w:b w:val="0"/>
          <w:bCs/>
          <w:sz w:val="28"/>
          <w:szCs w:val="28"/>
        </w:rPr>
        <w:t xml:space="preserve"> района </w:t>
      </w:r>
      <w:r>
        <w:rPr>
          <w:b w:val="0"/>
          <w:bCs/>
          <w:sz w:val="28"/>
          <w:szCs w:val="28"/>
        </w:rPr>
        <w:t xml:space="preserve">Р</w:t>
      </w:r>
      <w:r>
        <w:rPr>
          <w:b w:val="0"/>
          <w:bCs/>
          <w:sz w:val="28"/>
          <w:szCs w:val="28"/>
        </w:rPr>
        <w:t xml:space="preserve">еспублики </w:t>
      </w:r>
      <w:r>
        <w:rPr>
          <w:b w:val="0"/>
          <w:bCs/>
          <w:sz w:val="28"/>
          <w:szCs w:val="28"/>
        </w:rPr>
        <w:t xml:space="preserve">Т</w:t>
      </w:r>
      <w:r>
        <w:rPr>
          <w:b w:val="0"/>
          <w:bCs/>
          <w:sz w:val="28"/>
          <w:szCs w:val="28"/>
        </w:rPr>
        <w:t xml:space="preserve">атарстан постановляет:</w:t>
      </w:r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</w:r>
    </w:p>
    <w:p>
      <w:pPr>
        <w:numPr>
          <w:ilvl w:val="0"/>
          <w:numId w:val="4"/>
        </w:numPr>
        <w:ind w:left="0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Повысить с 1 </w:t>
      </w:r>
      <w:r>
        <w:rPr>
          <w:sz w:val="28"/>
          <w:szCs w:val="28"/>
        </w:rPr>
        <w:t xml:space="preserve">января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 размеры месячн</w:t>
      </w:r>
      <w:r>
        <w:rPr>
          <w:sz w:val="28"/>
          <w:szCs w:val="28"/>
        </w:rPr>
        <w:t xml:space="preserve">ых должностных окладов        руководителей, специалистов и служащих отдельных организаций бюджетной сферы, на которые не распространяется Единая тарифная сетка по оплате труда работников бюджетной сферы, определяемые в порядке, установленном постановление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Исполнительного комитета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района Республики Татарстан от </w:t>
      </w:r>
      <w:r>
        <w:rPr>
          <w:bCs/>
          <w:sz w:val="28"/>
          <w:szCs w:val="28"/>
        </w:rPr>
        <w:t xml:space="preserve">17.01.2022 года № 27 «Об изменении условий оплаты труда работников отдельных организаций бюджетной сферы, на которые не распространяется</w:t>
      </w:r>
      <w:r>
        <w:rPr>
          <w:bCs/>
          <w:sz w:val="28"/>
          <w:szCs w:val="28"/>
        </w:rPr>
        <w:t xml:space="preserve"> Единая тарифная сетка по оплате труда работников бюджетной сферы Пестречинского муниципального района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(с изменениями от </w:t>
      </w:r>
      <w:r>
        <w:rPr>
          <w:bCs/>
          <w:sz w:val="28"/>
          <w:szCs w:val="28"/>
        </w:rPr>
        <w:t xml:space="preserve">20.01.</w:t>
      </w:r>
      <w:r>
        <w:rPr>
          <w:bCs/>
          <w:sz w:val="28"/>
          <w:szCs w:val="28"/>
        </w:rPr>
        <w:t xml:space="preserve">2022 года № 47, от </w:t>
      </w:r>
      <w:r>
        <w:rPr>
          <w:bCs/>
          <w:sz w:val="28"/>
          <w:szCs w:val="28"/>
        </w:rPr>
        <w:t xml:space="preserve">10.01.2023 года № 1,</w:t>
      </w:r>
      <w:r>
        <w:rPr>
          <w:bCs/>
          <w:sz w:val="28"/>
          <w:szCs w:val="28"/>
        </w:rPr>
        <w:t xml:space="preserve"> от 01.07.2024 года № 43</w:t>
      </w:r>
      <w:r>
        <w:rPr>
          <w:bCs/>
          <w:sz w:val="28"/>
          <w:szCs w:val="28"/>
        </w:rPr>
        <w:t xml:space="preserve">4,</w:t>
      </w:r>
      <w:r>
        <w:rPr>
          <w:bCs/>
          <w:sz w:val="28"/>
          <w:szCs w:val="28"/>
        </w:rPr>
        <w:t xml:space="preserve"> от 13.01.2025 года</w:t>
      </w: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№ 6-п, от 22.04.2025 года № 219-п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от 29.04.2025 года № 233-п)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numPr>
          <w:ilvl w:val="0"/>
          <w:numId w:val="4"/>
        </w:numPr>
        <w:ind w:left="0" w:firstLine="709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Для исчисления размеров месячных должностных окладов руководителей, специалистов и служащих отдельных организаций бюджетной сферы, на которые не распространяется Единая тарифная сетка по оплате труда работников бюджетной сферы, в соответствии с </w:t>
      </w:r>
      <w:hyperlink r:id="rId11" w:tooltip="consultantplus://offline/ref=393C12EB1ACE185A7E5A1C67332ED0BC6FEA3B8348F0075B2ECEF428A56CE6E911F4FF72B83A1139C2E13E5C99E89D2D0E9C4BE733316BD48D09CA3ESFGFM" w:history="1">
        <w:r>
          <w:rPr>
            <w:color w:val="000000"/>
            <w:sz w:val="28"/>
            <w:szCs w:val="28"/>
          </w:rPr>
          <w:t xml:space="preserve">пунктом </w:t>
        </w:r>
      </w:hyperlink>
      <w:r>
        <w:rPr>
          <w:color w:val="000000"/>
          <w:sz w:val="28"/>
          <w:szCs w:val="28"/>
        </w:rPr>
        <w:t xml:space="preserve">1</w:t>
      </w:r>
      <w:r>
        <w:rPr>
          <w:sz w:val="28"/>
          <w:szCs w:val="28"/>
        </w:rPr>
        <w:t xml:space="preserve"> настоящего постановления индексировать размер должностного оклада секретаря </w:t>
      </w:r>
      <w:r>
        <w:rPr>
          <w:sz w:val="28"/>
          <w:szCs w:val="28"/>
        </w:rPr>
        <w:t xml:space="preserve">руководителя структурного подразделения отдельной организации бюджетной сферы в муниципальных образованиях, </w:t>
      </w:r>
      <w:r>
        <w:rPr>
          <w:sz w:val="28"/>
          <w:szCs w:val="28"/>
        </w:rPr>
        <w:t xml:space="preserve">на которую не распространяется Единая тарифная сетка по оплате труда работников</w:t>
      </w:r>
      <w:r>
        <w:rPr>
          <w:sz w:val="28"/>
          <w:szCs w:val="28"/>
        </w:rPr>
        <w:t xml:space="preserve"> бюджетной сферы </w:t>
      </w:r>
      <w:r>
        <w:rPr>
          <w:sz w:val="28"/>
          <w:szCs w:val="28"/>
        </w:rPr>
        <w:t xml:space="preserve">Пестречинского района </w:t>
      </w:r>
      <w:r>
        <w:rPr>
          <w:sz w:val="28"/>
          <w:szCs w:val="28"/>
        </w:rPr>
        <w:t xml:space="preserve">Республики Татарстан,</w:t>
      </w:r>
      <w:r>
        <w:rPr>
          <w:sz w:val="28"/>
          <w:szCs w:val="28"/>
        </w:rPr>
        <w:t xml:space="preserve"> в 1,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раза и установить его в размере </w:t>
      </w:r>
      <w:r>
        <w:rPr>
          <w:sz w:val="28"/>
          <w:szCs w:val="28"/>
        </w:rPr>
        <w:t xml:space="preserve">16 928</w:t>
      </w:r>
      <w:r>
        <w:rPr>
          <w:sz w:val="28"/>
          <w:szCs w:val="28"/>
        </w:rPr>
        <w:t xml:space="preserve"> рублей.</w:t>
      </w:r>
      <w:r>
        <w:rPr>
          <w:sz w:val="28"/>
          <w:szCs w:val="28"/>
        </w:rPr>
      </w:r>
    </w:p>
    <w:p>
      <w:pPr>
        <w:pStyle w:val="651"/>
        <w:numPr>
          <w:ilvl w:val="0"/>
          <w:numId w:val="4"/>
        </w:numPr>
        <w:ind w:left="0" w:right="0" w:firstLine="567"/>
        <w:jc w:val="both"/>
        <w:spacing w:line="240" w:lineRule="auto"/>
        <w:tabs>
          <w:tab w:val="left" w:pos="142" w:leader="none"/>
          <w:tab w:val="left" w:pos="993" w:leader="none"/>
        </w:tabs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Финансово-бюджетной п</w:t>
      </w:r>
      <w:r>
        <w:rPr>
          <w:b w:val="0"/>
          <w:bCs/>
          <w:sz w:val="28"/>
          <w:szCs w:val="28"/>
        </w:rPr>
        <w:t xml:space="preserve">алате </w:t>
      </w:r>
      <w:r>
        <w:rPr>
          <w:b w:val="0"/>
          <w:bCs/>
          <w:sz w:val="28"/>
          <w:szCs w:val="28"/>
        </w:rPr>
        <w:t xml:space="preserve">Пестречинского</w:t>
      </w:r>
      <w:r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муниципального </w:t>
      </w:r>
      <w:r>
        <w:rPr>
          <w:b w:val="0"/>
          <w:bCs/>
          <w:sz w:val="28"/>
          <w:szCs w:val="28"/>
        </w:rPr>
        <w:t xml:space="preserve">района Республики Татарстан обеспечить в установленном</w:t>
      </w:r>
      <w:r>
        <w:rPr>
          <w:b w:val="0"/>
          <w:bCs/>
          <w:sz w:val="28"/>
          <w:szCs w:val="28"/>
        </w:rPr>
        <w:t xml:space="preserve"> порядке финансирование расходов, связанных с реализацией настоящего постановления.</w:t>
      </w:r>
      <w:r>
        <w:rPr>
          <w:b w:val="0"/>
          <w:bCs/>
          <w:sz w:val="28"/>
          <w:szCs w:val="28"/>
        </w:rPr>
      </w:r>
    </w:p>
    <w:p>
      <w:pPr>
        <w:pStyle w:val="651"/>
        <w:numPr>
          <w:ilvl w:val="0"/>
          <w:numId w:val="4"/>
        </w:numPr>
        <w:ind w:left="0" w:right="0" w:firstLine="567"/>
        <w:jc w:val="both"/>
        <w:spacing w:line="240" w:lineRule="auto"/>
        <w:tabs>
          <w:tab w:val="left" w:pos="142" w:leader="none"/>
          <w:tab w:val="left" w:pos="993" w:leader="none"/>
        </w:tabs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Руководителям отдельных организаций привести ранее изданные акты в соответствие с настоящим постановлением.</w:t>
      </w:r>
      <w:r>
        <w:rPr>
          <w:b w:val="0"/>
          <w:bCs/>
          <w:sz w:val="28"/>
          <w:szCs w:val="28"/>
        </w:rPr>
      </w:r>
    </w:p>
    <w:p>
      <w:pPr>
        <w:pStyle w:val="651"/>
        <w:numPr>
          <w:ilvl w:val="0"/>
          <w:numId w:val="4"/>
        </w:numPr>
        <w:ind w:left="0" w:right="0" w:firstLine="567"/>
        <w:jc w:val="both"/>
        <w:spacing w:line="240" w:lineRule="auto"/>
        <w:tabs>
          <w:tab w:val="left" w:pos="142" w:leader="none"/>
          <w:tab w:val="left" w:pos="993" w:leader="none"/>
        </w:tabs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Опубликовать (обнародовать) настоящее постановление путем размещения на официальном сайте </w:t>
      </w:r>
      <w:r>
        <w:rPr>
          <w:b w:val="0"/>
          <w:bCs/>
          <w:sz w:val="28"/>
          <w:szCs w:val="28"/>
        </w:rPr>
        <w:t xml:space="preserve">Пестречинского</w:t>
      </w:r>
      <w:r>
        <w:rPr>
          <w:b w:val="0"/>
          <w:bCs/>
          <w:sz w:val="28"/>
          <w:szCs w:val="28"/>
        </w:rPr>
        <w:t xml:space="preserve"> муниципального района</w:t>
      </w:r>
      <w:r>
        <w:rPr>
          <w:b w:val="0"/>
          <w:bCs/>
          <w:sz w:val="28"/>
          <w:szCs w:val="28"/>
        </w:rPr>
        <w:t xml:space="preserve"> Республики Татарстан в информационно-телекоммуникационной сети Интернет:  http:// www.-pestreci.tatarstan.ru и на «Официальном портале правовой информации Республики Татарстан» в информационно-телекоммуникационной сети Интернет: http://pravo.tatarstan.ru.</w:t>
      </w:r>
      <w:r>
        <w:rPr>
          <w:b w:val="0"/>
          <w:bCs/>
          <w:sz w:val="28"/>
          <w:szCs w:val="28"/>
        </w:rPr>
      </w:r>
    </w:p>
    <w:p>
      <w:pPr>
        <w:numPr>
          <w:ilvl w:val="0"/>
          <w:numId w:val="4"/>
        </w:numPr>
        <w:ind w:left="0" w:firstLine="567"/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Установить, что настоящее постановление вступает в силу с 1 </w:t>
      </w:r>
      <w:r>
        <w:rPr>
          <w:sz w:val="28"/>
          <w:szCs w:val="28"/>
        </w:rPr>
        <w:t xml:space="preserve">января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года.</w:t>
      </w:r>
      <w:r>
        <w:rPr>
          <w:sz w:val="28"/>
          <w:szCs w:val="28"/>
        </w:rPr>
      </w:r>
    </w:p>
    <w:p>
      <w:pPr>
        <w:jc w:val="both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9"/>
        <w:jc w:val="both"/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Р</w:t>
      </w:r>
      <w:r>
        <w:rPr>
          <w:b w:val="0"/>
          <w:sz w:val="28"/>
          <w:szCs w:val="28"/>
        </w:rPr>
        <w:t xml:space="preserve">уководител</w:t>
      </w:r>
      <w:r>
        <w:rPr>
          <w:b w:val="0"/>
          <w:sz w:val="28"/>
          <w:szCs w:val="28"/>
        </w:rPr>
        <w:t xml:space="preserve">ь</w:t>
      </w:r>
      <w:r>
        <w:rPr>
          <w:b w:val="0"/>
          <w:sz w:val="28"/>
          <w:szCs w:val="28"/>
        </w:rPr>
        <w:t xml:space="preserve"> И</w:t>
      </w:r>
      <w:r>
        <w:rPr>
          <w:b w:val="0"/>
          <w:sz w:val="28"/>
          <w:szCs w:val="28"/>
        </w:rPr>
        <w:t xml:space="preserve">сполнительного комитета</w:t>
      </w:r>
      <w:r>
        <w:rPr>
          <w:b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Пестречинского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</w:r>
    </w:p>
    <w:p>
      <w:pPr>
        <w:pStyle w:val="629"/>
        <w:jc w:val="both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муниципального района</w:t>
      </w:r>
      <w:r>
        <w:rPr>
          <w:b w:val="0"/>
          <w:bCs w:val="0"/>
          <w:sz w:val="28"/>
          <w:szCs w:val="28"/>
        </w:rPr>
        <w:t xml:space="preserve"> Республики Татарстан</w:t>
      </w:r>
      <w:r>
        <w:rPr>
          <w:bCs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                  </w:t>
      </w:r>
      <w:r>
        <w:rPr>
          <w:b w:val="0"/>
          <w:sz w:val="28"/>
          <w:szCs w:val="28"/>
        </w:rPr>
        <w:t xml:space="preserve">        </w:t>
      </w:r>
      <w:r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И.</w:t>
      </w:r>
      <w:r>
        <w:rPr>
          <w:b w:val="0"/>
          <w:sz w:val="28"/>
          <w:szCs w:val="28"/>
        </w:rPr>
        <w:t xml:space="preserve">Р.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Давлетханов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284" w:right="851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9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70" w:hanging="465"/>
        <w:tabs>
          <w:tab w:val="num" w:pos="117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2"/>
    <w:link w:val="62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7"/>
    <w:next w:val="62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2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2"/>
    <w:link w:val="629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7"/>
    <w:next w:val="62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2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2"/>
    <w:link w:val="630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7"/>
    <w:next w:val="62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7"/>
    <w:next w:val="62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32"/>
    <w:link w:val="631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7"/>
    <w:next w:val="62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7"/>
    <w:next w:val="62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2"/>
    <w:link w:val="34"/>
    <w:uiPriority w:val="10"/>
    <w:rPr>
      <w:sz w:val="48"/>
      <w:szCs w:val="48"/>
    </w:rPr>
  </w:style>
  <w:style w:type="paragraph" w:styleId="36">
    <w:name w:val="Subtitle"/>
    <w:basedOn w:val="627"/>
    <w:next w:val="62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2"/>
    <w:link w:val="36"/>
    <w:uiPriority w:val="11"/>
    <w:rPr>
      <w:sz w:val="24"/>
      <w:szCs w:val="24"/>
    </w:rPr>
  </w:style>
  <w:style w:type="paragraph" w:styleId="38">
    <w:name w:val="Quote"/>
    <w:basedOn w:val="627"/>
    <w:next w:val="62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7"/>
    <w:next w:val="62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2"/>
    <w:link w:val="42"/>
    <w:uiPriority w:val="99"/>
  </w:style>
  <w:style w:type="paragraph" w:styleId="44">
    <w:name w:val="Footer"/>
    <w:basedOn w:val="62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2"/>
    <w:link w:val="44"/>
    <w:uiPriority w:val="99"/>
  </w:style>
  <w:style w:type="paragraph" w:styleId="46">
    <w:name w:val="Caption"/>
    <w:basedOn w:val="627"/>
    <w:next w:val="62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2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2"/>
    <w:uiPriority w:val="99"/>
    <w:unhideWhenUsed/>
    <w:rPr>
      <w:vertAlign w:val="superscript"/>
    </w:rPr>
  </w:style>
  <w:style w:type="paragraph" w:styleId="178">
    <w:name w:val="endnote text"/>
    <w:basedOn w:val="62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2"/>
    <w:uiPriority w:val="99"/>
    <w:semiHidden/>
    <w:unhideWhenUsed/>
    <w:rPr>
      <w:vertAlign w:val="superscript"/>
    </w:rPr>
  </w:style>
  <w:style w:type="paragraph" w:styleId="181">
    <w:name w:val="toc 1"/>
    <w:basedOn w:val="627"/>
    <w:next w:val="62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7"/>
    <w:next w:val="62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7"/>
    <w:next w:val="62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7"/>
    <w:next w:val="62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7"/>
    <w:next w:val="62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7"/>
    <w:next w:val="62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7"/>
    <w:next w:val="62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7"/>
    <w:next w:val="62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7"/>
    <w:next w:val="62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7"/>
    <w:next w:val="627"/>
    <w:uiPriority w:val="99"/>
    <w:unhideWhenUsed/>
    <w:pPr>
      <w:spacing w:after="0" w:afterAutospacing="0"/>
    </w:pPr>
  </w:style>
  <w:style w:type="paragraph" w:styleId="627" w:default="1">
    <w:name w:val="Normal"/>
    <w:qFormat/>
    <w:rPr>
      <w:rFonts w:eastAsia="Calibri"/>
      <w:sz w:val="24"/>
      <w:szCs w:val="24"/>
    </w:rPr>
  </w:style>
  <w:style w:type="paragraph" w:styleId="628">
    <w:name w:val="Heading 1"/>
    <w:basedOn w:val="627"/>
    <w:link w:val="635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629">
    <w:name w:val="Heading 3"/>
    <w:basedOn w:val="627"/>
    <w:link w:val="636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630">
    <w:name w:val="Heading 5"/>
    <w:basedOn w:val="627"/>
    <w:next w:val="627"/>
    <w:link w:val="637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31">
    <w:name w:val="Heading 8"/>
    <w:basedOn w:val="627"/>
    <w:next w:val="627"/>
    <w:link w:val="638"/>
    <w:qFormat/>
    <w:pPr>
      <w:spacing w:before="240" w:after="60"/>
      <w:outlineLvl w:val="7"/>
    </w:pPr>
    <w:rPr>
      <w:rFonts w:ascii="Calibri" w:hAnsi="Calibri"/>
      <w:i/>
      <w:iCs/>
    </w:rPr>
  </w:style>
  <w:style w:type="character" w:styleId="632" w:default="1">
    <w:name w:val="Default Paragraph Font"/>
    <w:uiPriority w:val="1"/>
    <w:semiHidden/>
    <w:unhideWhenUsed/>
  </w:style>
  <w:style w:type="table" w:styleId="6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4" w:default="1">
    <w:name w:val="No List"/>
    <w:uiPriority w:val="99"/>
    <w:semiHidden/>
    <w:unhideWhenUsed/>
  </w:style>
  <w:style w:type="character" w:styleId="635" w:customStyle="1">
    <w:name w:val="Заголовок 1 Знак"/>
    <w:basedOn w:val="632"/>
    <w:link w:val="628"/>
    <w:rPr>
      <w:rFonts w:eastAsia="Calibri"/>
      <w:b/>
      <w:bCs/>
      <w:sz w:val="48"/>
      <w:szCs w:val="48"/>
      <w:lang w:val="ru-RU" w:eastAsia="ru-RU" w:bidi="ar-SA"/>
    </w:rPr>
  </w:style>
  <w:style w:type="character" w:styleId="636" w:customStyle="1">
    <w:name w:val="Заголовок 3 Знак"/>
    <w:basedOn w:val="632"/>
    <w:link w:val="629"/>
    <w:rPr>
      <w:rFonts w:eastAsia="Calibri"/>
      <w:b/>
      <w:bCs/>
      <w:sz w:val="27"/>
      <w:szCs w:val="27"/>
      <w:lang w:val="ru-RU" w:eastAsia="ru-RU" w:bidi="ar-SA"/>
    </w:rPr>
  </w:style>
  <w:style w:type="character" w:styleId="637" w:customStyle="1">
    <w:name w:val="Заголовок 5 Знак"/>
    <w:basedOn w:val="632"/>
    <w:link w:val="630"/>
    <w:semiHidden/>
    <w:rPr>
      <w:rFonts w:ascii="Calibri" w:hAnsi="Calibri" w:eastAsia="Calibri"/>
      <w:b/>
      <w:bCs/>
      <w:i/>
      <w:iCs/>
      <w:sz w:val="26"/>
      <w:szCs w:val="26"/>
      <w:lang w:val="ru-RU" w:eastAsia="ru-RU" w:bidi="ar-SA"/>
    </w:rPr>
  </w:style>
  <w:style w:type="character" w:styleId="638" w:customStyle="1">
    <w:name w:val="Заголовок 8 Знак"/>
    <w:basedOn w:val="632"/>
    <w:link w:val="631"/>
    <w:semiHidden/>
    <w:rPr>
      <w:rFonts w:ascii="Calibri" w:hAnsi="Calibri" w:eastAsia="Calibri"/>
      <w:i/>
      <w:iCs/>
      <w:sz w:val="24"/>
      <w:szCs w:val="24"/>
      <w:lang w:val="ru-RU" w:eastAsia="ru-RU" w:bidi="ar-SA"/>
    </w:rPr>
  </w:style>
  <w:style w:type="paragraph" w:styleId="639">
    <w:name w:val="Body Text"/>
    <w:basedOn w:val="627"/>
    <w:link w:val="641"/>
    <w:pPr>
      <w:spacing w:after="120"/>
    </w:pPr>
    <w:rPr>
      <w:rFonts w:eastAsia="Times New Roman"/>
    </w:rPr>
  </w:style>
  <w:style w:type="table" w:styleId="640">
    <w:name w:val="Table Grid"/>
    <w:basedOn w:val="633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41" w:customStyle="1">
    <w:name w:val="Основной текст Знак"/>
    <w:basedOn w:val="632"/>
    <w:link w:val="639"/>
    <w:rPr>
      <w:sz w:val="24"/>
      <w:szCs w:val="24"/>
      <w:lang w:val="ru-RU" w:eastAsia="ru-RU" w:bidi="ar-SA"/>
    </w:rPr>
  </w:style>
  <w:style w:type="character" w:styleId="642" w:customStyle="1">
    <w:name w:val="Знак Знак"/>
    <w:semiHidden/>
    <w:rPr>
      <w:rFonts w:ascii="Calibri" w:hAnsi="Calibri" w:eastAsia="Calibri"/>
      <w:b/>
      <w:bCs/>
      <w:i/>
      <w:iCs/>
      <w:sz w:val="26"/>
      <w:szCs w:val="26"/>
      <w:lang w:val="ru-RU" w:eastAsia="ru-RU" w:bidi="ar-SA"/>
    </w:rPr>
  </w:style>
  <w:style w:type="paragraph" w:styleId="643">
    <w:name w:val="Balloon Text"/>
    <w:basedOn w:val="627"/>
    <w:link w:val="644"/>
    <w:rPr>
      <w:rFonts w:ascii="Tahoma" w:hAnsi="Tahoma" w:cs="Tahoma"/>
      <w:sz w:val="16"/>
      <w:szCs w:val="16"/>
    </w:rPr>
  </w:style>
  <w:style w:type="character" w:styleId="644" w:customStyle="1">
    <w:name w:val="Текст выноски Знак"/>
    <w:basedOn w:val="632"/>
    <w:link w:val="643"/>
    <w:rPr>
      <w:rFonts w:ascii="Tahoma" w:hAnsi="Tahoma" w:eastAsia="Calibri" w:cs="Tahoma"/>
      <w:sz w:val="16"/>
      <w:szCs w:val="16"/>
    </w:rPr>
  </w:style>
  <w:style w:type="character" w:styleId="645">
    <w:name w:val="Hyperlink"/>
    <w:basedOn w:val="632"/>
    <w:rPr>
      <w:color w:val="0000ff"/>
      <w:u w:val="single"/>
    </w:rPr>
  </w:style>
  <w:style w:type="paragraph" w:styleId="646" w:customStyle="1">
    <w:name w:val="formattext topleveltext centertext"/>
    <w:basedOn w:val="627"/>
    <w:pPr>
      <w:spacing w:before="100" w:beforeAutospacing="1" w:after="100" w:afterAutospacing="1"/>
    </w:pPr>
    <w:rPr>
      <w:rFonts w:eastAsia="Times New Roman"/>
    </w:rPr>
  </w:style>
  <w:style w:type="paragraph" w:styleId="647" w:customStyle="1">
    <w:name w:val="formattext topleveltext"/>
    <w:basedOn w:val="627"/>
    <w:pPr>
      <w:spacing w:before="100" w:beforeAutospacing="1" w:after="100" w:afterAutospacing="1"/>
    </w:pPr>
    <w:rPr>
      <w:rFonts w:eastAsia="Times New Roman"/>
    </w:rPr>
  </w:style>
  <w:style w:type="paragraph" w:styleId="648">
    <w:name w:val="Body Text Indent 2"/>
    <w:basedOn w:val="627"/>
    <w:link w:val="649"/>
    <w:pPr>
      <w:ind w:left="283"/>
      <w:spacing w:after="120" w:line="480" w:lineRule="auto"/>
    </w:pPr>
  </w:style>
  <w:style w:type="character" w:styleId="649" w:customStyle="1">
    <w:name w:val="Основной текст с отступом 2 Знак"/>
    <w:basedOn w:val="632"/>
    <w:link w:val="648"/>
    <w:rPr>
      <w:rFonts w:eastAsia="Calibri"/>
      <w:sz w:val="24"/>
      <w:szCs w:val="24"/>
    </w:rPr>
  </w:style>
  <w:style w:type="paragraph" w:styleId="650">
    <w:name w:val="List Paragraph"/>
    <w:basedOn w:val="627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651" w:customStyle="1">
    <w:name w:val="Название1"/>
    <w:basedOn w:val="627"/>
    <w:qFormat/>
    <w:pPr>
      <w:ind w:right="220"/>
      <w:jc w:val="center"/>
      <w:spacing w:line="320" w:lineRule="exact"/>
      <w:widowControl w:val="off"/>
    </w:pPr>
    <w:rPr>
      <w:rFonts w:eastAsia="Times New Roman"/>
      <w:b/>
      <w:sz w:val="32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hyperlink" Target="consultantplus://offline/ref=393C12EB1ACE185A7E5A1C67332ED0BC6FEA3B8348F0075B2ECEF428A56CE6E911F4FF72B83A1139C2E13E5C99E89D2D0E9C4BE733316BD48D09CA3ESFGF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576EE-C1E6-4216-8094-EC62B82D7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Пестречинского муниципального района</dc:title>
  <dc:creator>1</dc:creator>
  <cp:lastModifiedBy>ICL</cp:lastModifiedBy>
  <cp:revision>6</cp:revision>
  <dcterms:created xsi:type="dcterms:W3CDTF">2025-12-18T13:50:00Z</dcterms:created>
  <dcterms:modified xsi:type="dcterms:W3CDTF">2025-12-25T11:06:09Z</dcterms:modified>
</cp:coreProperties>
</file>