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Кобяковского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№136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Кобяковского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Кобяковского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2019 года № 136 «О налоге на имущество физических лиц» (в редакции решения Совета от 22 марта 2021 года № 18</w:t>
      </w:r>
      <w:r>
        <w:rPr>
          <w:sz w:val="28"/>
          <w:szCs w:val="28"/>
        </w:rPr>
        <w:t xml:space="preserve">, от 25 октября 20</w:t>
      </w:r>
      <w:r>
        <w:rPr>
          <w:sz w:val="28"/>
          <w:szCs w:val="28"/>
        </w:rPr>
        <w:t xml:space="preserve">24 года №99</w:t>
      </w:r>
      <w:r>
        <w:rPr>
          <w:sz w:val="28"/>
          <w:szCs w:val="28"/>
        </w:rPr>
        <w:t xml:space="preserve">)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машино-мест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</w:t>
      </w:r>
      <w:r>
        <w:rPr>
          <w:rStyle w:val="633"/>
          <w:sz w:val="28"/>
          <w:szCs w:val="28"/>
        </w:rPr>
        <w:t xml:space="preserve">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</w:t>
      </w:r>
      <w:r/>
    </w:p>
    <w:p>
      <w:pPr>
        <w:rPr>
          <w:spacing w:val="-8"/>
          <w:sz w:val="28"/>
          <w:szCs w:val="28"/>
        </w:rPr>
      </w:pPr>
      <w:r>
        <w:t xml:space="preserve"> </w:t>
      </w:r>
      <w:r>
        <w:rPr>
          <w:spacing w:val="-8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Кобяковского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spacing w:val="-8"/>
          <w:sz w:val="28"/>
          <w:szCs w:val="28"/>
        </w:rPr>
        <w:t xml:space="preserve">Р А Сайфутдинов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3B7C-F515-47AD-8400-3D455772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2026-01-06T09:38:00Z</dcterms:created>
  <dcterms:modified xsi:type="dcterms:W3CDTF">2026-01-12T11:05:26Z</dcterms:modified>
</cp:coreProperties>
</file>