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eastAsia="Calibri"/>
          <w:bCs/>
          <w:sz w:val="28"/>
          <w:szCs w:val="28"/>
        </w:rPr>
      </w:pPr>
      <w:r>
        <w:t xml:space="preserve">Проект </w:t>
      </w:r>
      <w:bookmarkStart w:id="0" w:name="_GoBack"/>
      <w:r/>
      <w:bookmarkEnd w:id="0"/>
      <w:r/>
      <w:r>
        <w:rPr>
          <w:rFonts w:eastAsia="Calibri"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Татарско-Ходяшевского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Style w:val="630"/>
          <w:sz w:val="28"/>
          <w:szCs w:val="28"/>
        </w:rPr>
        <w:t xml:space="preserve"> от 28 октября 2019 года №131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Татарско-Ходяшевского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Татарско-Ходяшевского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28 октября 2019 года №131 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«О налоге на имущество физических лиц»</w:t>
      </w:r>
      <w:r>
        <w:rPr>
          <w:rStyle w:val="630"/>
          <w:sz w:val="28"/>
          <w:szCs w:val="28"/>
        </w:rPr>
        <w:t xml:space="preserve"> (</w:t>
      </w:r>
      <w:r>
        <w:rPr>
          <w:rStyle w:val="630"/>
          <w:sz w:val="28"/>
          <w:szCs w:val="28"/>
        </w:rPr>
        <w:t xml:space="preserve">в редак</w:t>
      </w:r>
      <w:r>
        <w:rPr>
          <w:rStyle w:val="630"/>
          <w:sz w:val="28"/>
          <w:szCs w:val="28"/>
        </w:rPr>
        <w:t xml:space="preserve">ции решени</w:t>
      </w:r>
      <w:r>
        <w:rPr>
          <w:rStyle w:val="630"/>
          <w:sz w:val="28"/>
          <w:szCs w:val="28"/>
        </w:rPr>
        <w:t xml:space="preserve">й</w:t>
      </w:r>
      <w:r>
        <w:rPr>
          <w:rStyle w:val="630"/>
          <w:sz w:val="28"/>
          <w:szCs w:val="28"/>
        </w:rPr>
        <w:t xml:space="preserve"> Совета</w:t>
      </w:r>
      <w:r>
        <w:rPr>
          <w:rStyle w:val="630"/>
          <w:sz w:val="28"/>
          <w:szCs w:val="28"/>
        </w:rPr>
        <w:t xml:space="preserve"> от 22.03.2021 №17, от 25.10.2024 №107</w:t>
      </w:r>
      <w:r>
        <w:rPr>
          <w:rStyle w:val="630"/>
          <w:sz w:val="28"/>
          <w:szCs w:val="28"/>
        </w:rPr>
        <w:t xml:space="preserve">) следующие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  <w:r>
        <w:rPr>
          <w:sz w:val="28"/>
          <w:szCs w:val="28"/>
        </w:rPr>
        <w:t xml:space="preserve">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</w:t>
      </w:r>
      <w:r>
        <w:rPr>
          <w:sz w:val="28"/>
          <w:szCs w:val="28"/>
        </w:rPr>
        <w:t xml:space="preserve">официальном сайте Пестречинского муниципального района (www.</w:t>
      </w:r>
      <w:hyperlink r:id="rId10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 </w:t>
      </w:r>
      <w:r/>
    </w:p>
    <w:p>
      <w:pPr>
        <w:rPr>
          <w:rStyle w:val="629"/>
          <w:sz w:val="28"/>
          <w:szCs w:val="28"/>
        </w:rPr>
      </w:pPr>
      <w:r>
        <w:rPr>
          <w:sz w:val="28"/>
          <w:szCs w:val="28"/>
        </w:rPr>
      </w:r>
      <w:r>
        <w:rPr>
          <w:rStyle w:val="629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Глава Татарско-Ходяшевского</w:t>
      </w:r>
      <w:r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                                </w:t>
      </w:r>
      <w:r>
        <w:rPr>
          <w:spacing w:val="-8"/>
          <w:sz w:val="28"/>
          <w:szCs w:val="28"/>
        </w:rPr>
        <w:t xml:space="preserve">     </w:t>
      </w:r>
      <w:r>
        <w:rPr>
          <w:spacing w:val="-8"/>
          <w:sz w:val="28"/>
          <w:szCs w:val="28"/>
        </w:rPr>
        <w:t xml:space="preserve">И.Р.Габдрахманов</w:t>
      </w:r>
      <w:r>
        <w:rPr>
          <w:spacing w:val="-8"/>
          <w:sz w:val="28"/>
          <w:szCs w:val="28"/>
        </w:rPr>
      </w:r>
    </w:p>
    <w:p>
      <w:pPr>
        <w:ind w:right="-999"/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7D11-B39C-479B-B492-5D706AEC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2026-01-07T12:58:00Z</dcterms:created>
  <dcterms:modified xsi:type="dcterms:W3CDTF">2026-01-12T12:46:10Z</dcterms:modified>
</cp:coreProperties>
</file>