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 заседание Совета Богородского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Богородского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_________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818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Богородского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b/>
          <w:sz w:val="28"/>
          <w:szCs w:val="28"/>
        </w:rPr>
        <w:t xml:space="preserve">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Богородского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Д.Ю. Булыгин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</w:pPr>
      <w:r>
        <w:t xml:space="preserve">Утверждено</w:t>
      </w:r>
      <w:r/>
    </w:p>
    <w:p>
      <w:pPr>
        <w:ind w:left="6663"/>
        <w:widowControl w:val="off"/>
      </w:pPr>
      <w:r>
        <w:t xml:space="preserve">решением Совета </w:t>
      </w:r>
      <w:r>
        <w:rPr>
          <w:bCs/>
        </w:rPr>
        <w:t xml:space="preserve">Богородского</w:t>
      </w:r>
      <w:r>
        <w:t xml:space="preserve"> сельского поселения Пестречинского муниципального района Республики Татарстан</w:t>
      </w:r>
      <w:r/>
    </w:p>
    <w:p>
      <w:pPr>
        <w:ind w:left="6663"/>
        <w:widowControl w:val="off"/>
      </w:pPr>
      <w:r>
        <w:t xml:space="preserve">от        года №</w:t>
      </w:r>
      <w:r>
        <w:t xml:space="preserve"> </w:t>
      </w:r>
      <w:r/>
      <w:r/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Пестречинского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      № 33-ФЗ «Об общих принципах организации местного самоуправления в единой системе публичной власти», уставом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 Пестречинского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(далее – сельское поселение),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за счет источников, указанных в пункте 3.2. осуществляется на основании Постановления Исполнительного комитета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(далее – исполнительный комитет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</w:t>
      </w:r>
      <w:r>
        <w:rPr>
          <w:sz w:val="28"/>
          <w:szCs w:val="28"/>
        </w:rPr>
        <w:t xml:space="preserve">. Учет имущества муниципальной казны осуществляется в соответствии с приказом Министра экономического развития Российской Федерации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bCs/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2026-01-06T09:03:00Z</dcterms:created>
  <dcterms:modified xsi:type="dcterms:W3CDTF">2026-01-12T10:54:46Z</dcterms:modified>
</cp:coreProperties>
</file>