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Кибячинского</w:t>
      </w:r>
      <w:r>
        <w:rPr>
          <w:bCs/>
          <w:sz w:val="28"/>
          <w:szCs w:val="28"/>
        </w:rPr>
        <w:t xml:space="preserve"> сельского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   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6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36"/>
        <w:ind w:left="0" w:right="4676" w:firstLine="0"/>
        <w:tabs>
          <w:tab w:val="left" w:pos="4772" w:leader="none"/>
          <w:tab w:val="left" w:pos="5529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Кибячинского сельского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</w:r>
    </w:p>
    <w:p>
      <w:pPr>
        <w:pStyle w:val="736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-1"/>
        <w:tabs>
          <w:tab w:val="left" w:pos="4772" w:leader="none"/>
          <w:tab w:val="left" w:pos="8108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sz w:val="28"/>
          <w:szCs w:val="28"/>
        </w:rPr>
        <w:t xml:space="preserve">Кибячинского 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Кибячинского 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b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Кибячинского </w:t>
      </w:r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 xml:space="preserve">Пестречинского муниципального района Республики Татарстан решил:</w:t>
      </w:r>
      <w:r>
        <w:rPr>
          <w:b/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sz w:val="28"/>
          <w:szCs w:val="28"/>
        </w:rPr>
        <w:t xml:space="preserve">Кибячинского сельского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</w:t>
      </w:r>
      <w:r>
        <w:rPr>
          <w:sz w:val="28"/>
          <w:szCs w:val="28"/>
        </w:rPr>
        <w:t xml:space="preserve">обнародовать) на</w:t>
      </w:r>
      <w:r>
        <w:rPr>
          <w:sz w:val="28"/>
          <w:szCs w:val="28"/>
        </w:rPr>
        <w:t xml:space="preserve">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1" w:tooltip="http://www.pestreci.tatarstan.ru" w:history="1">
        <w:r>
          <w:rPr>
            <w:sz w:val="28"/>
            <w:szCs w:val="28"/>
          </w:rPr>
          <w:t xml:space="preserve">http://</w:t>
        </w:r>
        <w:r>
          <w:rPr>
            <w:rStyle w:val="738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</w:t>
      </w:r>
      <w:r>
        <w:rPr>
          <w:sz w:val="28"/>
          <w:szCs w:val="28"/>
        </w:rPr>
        <w:t xml:space="preserve">Совета Кибячинского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Кибячинского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Р.А. Раимов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Утвержден</w:t>
      </w:r>
      <w:r>
        <w:rPr>
          <w:color w:val="000000"/>
        </w:rPr>
        <w:t xml:space="preserve">о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решением Совета </w:t>
      </w:r>
      <w:r>
        <w:rPr>
          <w:color w:val="000000"/>
        </w:rPr>
        <w:t xml:space="preserve">Кибячинского</w:t>
      </w:r>
      <w:r>
        <w:rPr>
          <w:color w:val="000000"/>
        </w:rPr>
        <w:t xml:space="preserve"> сельского поселения </w:t>
      </w:r>
      <w:r>
        <w:rPr>
          <w:color w:val="000000"/>
        </w:rPr>
        <w:t xml:space="preserve">Пестречинского муниципального района Республики Татарстан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от               </w:t>
      </w:r>
      <w:r>
        <w:rPr>
          <w:color w:val="000000"/>
        </w:rPr>
        <w:t xml:space="preserve"> года</w:t>
      </w:r>
      <w:r>
        <w:rPr>
          <w:color w:val="000000"/>
        </w:rPr>
        <w:t xml:space="preserve"> № </w:t>
      </w:r>
      <w:r>
        <w:rPr>
          <w:color w:val="000000"/>
        </w:rPr>
      </w:r>
      <w:r>
        <w:rPr>
          <w:color w:val="000000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казне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 Гражданским кодексом Российской Федерации, Федеральным законом от 20 марта 2025 года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</w:t>
      </w:r>
      <w:r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Кибячинского </w:t>
      </w:r>
      <w:r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и определяет цели, задачи и общий порядок формирования муниципальной казны </w:t>
      </w:r>
      <w:r>
        <w:rPr>
          <w:sz w:val="28"/>
          <w:szCs w:val="28"/>
        </w:rPr>
        <w:t xml:space="preserve">Кибячинского 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(далее – сельское поселение)</w:t>
      </w:r>
      <w:r>
        <w:rPr>
          <w:sz w:val="28"/>
          <w:szCs w:val="28"/>
        </w:rPr>
        <w:t xml:space="preserve">, ее структуру и режим использования объектов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Муниципальную казну </w:t>
      </w:r>
      <w:r>
        <w:rPr>
          <w:sz w:val="28"/>
          <w:szCs w:val="28"/>
        </w:rPr>
        <w:t xml:space="preserve">Кибячинского </w:t>
      </w:r>
      <w:r>
        <w:rPr>
          <w:sz w:val="28"/>
          <w:szCs w:val="28"/>
        </w:rPr>
        <w:t xml:space="preserve">сельского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управления и распоряжения имуществом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структуры и состава собственности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обязательств сельского поселения по гражданско-правовым сделкам;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сохранению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пообъектный учет имущества, входящего в муниципальную казну, своевременное отражение его движения;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и применение наиболее эффективных способов использования муниципального имущества;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 и источники формирования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Объектами муниципальной казны являются: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средства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имущество, необходимое для обеспечения деятельности органа местного самоуправления;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нематериальные активы, закрепленны</w:t>
      </w:r>
      <w:r>
        <w:rPr>
          <w:sz w:val="28"/>
          <w:szCs w:val="28"/>
        </w:rPr>
        <w:t xml:space="preserve">е в муниципальной собственности;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Источниками образования муниципальной казны может быть имущество: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переданное </w:t>
      </w:r>
      <w:r>
        <w:rPr>
          <w:sz w:val="28"/>
          <w:szCs w:val="28"/>
        </w:rPr>
        <w:t xml:space="preserve">в муниципаль</w:t>
      </w:r>
      <w:r>
        <w:rPr>
          <w:sz w:val="28"/>
          <w:szCs w:val="28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оставшееся после ликвидации муниципальных учреждений и муниципальных предприятий;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Включение в состав муниципальной казны имущества, образованного з</w:t>
      </w:r>
      <w:r>
        <w:rPr>
          <w:sz w:val="28"/>
          <w:szCs w:val="28"/>
        </w:rPr>
        <w:t xml:space="preserve">а счет источников, указанных в </w:t>
      </w:r>
      <w:r>
        <w:rPr>
          <w:sz w:val="28"/>
          <w:szCs w:val="28"/>
        </w:rPr>
        <w:t xml:space="preserve">пункте 3.2. осуществляется на основании Постановления Исполнительного комитета </w:t>
      </w:r>
      <w:r>
        <w:rPr>
          <w:sz w:val="28"/>
          <w:szCs w:val="28"/>
        </w:rPr>
        <w:t xml:space="preserve">Кибячинского </w:t>
      </w:r>
      <w:r>
        <w:rPr>
          <w:sz w:val="28"/>
          <w:szCs w:val="28"/>
        </w:rPr>
        <w:t xml:space="preserve">сельского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в соответствии с настоящим Положением.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sz w:val="28"/>
          <w:szCs w:val="28"/>
        </w:rPr>
        <w:t xml:space="preserve">Кибячинского </w:t>
      </w:r>
      <w:r>
        <w:rPr>
          <w:sz w:val="28"/>
          <w:szCs w:val="28"/>
        </w:rPr>
        <w:t xml:space="preserve">сельского</w:t>
      </w:r>
      <w:r>
        <w:rPr>
          <w:sz w:val="28"/>
          <w:szCs w:val="28"/>
        </w:rPr>
        <w:t xml:space="preserve"> поселения Пестречинского муниципального района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 (далее – исполнительный комитет сельского 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Учет имущества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поселения. Учет имущества муниципальной казны осуществляется в соответствии с приказом Мин</w:t>
      </w:r>
      <w:r>
        <w:rPr>
          <w:sz w:val="28"/>
          <w:szCs w:val="28"/>
        </w:rPr>
        <w:t xml:space="preserve">истра экономического развития Российской Федерации</w:t>
      </w:r>
      <w:r>
        <w:rPr>
          <w:sz w:val="28"/>
          <w:szCs w:val="28"/>
        </w:rPr>
        <w:t xml:space="preserve">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управления и распоряжения муниципальной казной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закрепления на праве хозяйственного ведения за муниципальными предприятиями;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закрепления на праве оперативного управления за муниципальными учреждениями;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вступления в законную силу решения суда;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sz w:val="28"/>
          <w:szCs w:val="28"/>
        </w:rPr>
        <w:t xml:space="preserve">Кибячинского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в подпунктах «</w:t>
      </w:r>
      <w:r>
        <w:rPr>
          <w:sz w:val="28"/>
          <w:szCs w:val="28"/>
        </w:rPr>
        <w:t xml:space="preserve">в» - «</w:t>
      </w:r>
      <w:r>
        <w:rPr>
          <w:sz w:val="28"/>
          <w:szCs w:val="28"/>
        </w:rPr>
        <w:t xml:space="preserve">и» пункта 5.2. на основании постановлений Исполнительного комитета </w:t>
      </w:r>
      <w:r>
        <w:rPr>
          <w:sz w:val="28"/>
          <w:szCs w:val="28"/>
        </w:rPr>
        <w:t xml:space="preserve">Кибячинского </w:t>
      </w:r>
      <w:r>
        <w:rPr>
          <w:sz w:val="28"/>
          <w:szCs w:val="28"/>
        </w:rPr>
        <w:t xml:space="preserve">сельского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Контроль за сохранностью и целевым 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8"/>
          <w:szCs w:val="28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9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9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9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9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9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9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hint="default"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hint="default"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hint="default" w:ascii="Times New Roman" w:hAnsi="Times New Roman" w:eastAsia="Times New Roman" w:cs="Times New Roman"/>
        <w:spacing w:val="-33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01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101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101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101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1018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hint="default"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hint="default" w:ascii="Times New Roman" w:hAnsi="Times New Roman" w:eastAsia="Times New Roman" w:cs="Times New Roman"/>
        <w:spacing w:val="-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2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hint="default"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648" w:hanging="87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65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1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97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13" w:hanging="87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hint="default" w:ascii="Times New Roman" w:hAnsi="Times New Roman" w:eastAsia="Times New Roman" w:cs="Times New Roman"/>
        <w:spacing w:val="-26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839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39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3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3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3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3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39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5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5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5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5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5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5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82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64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676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6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hint="default"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hint="default" w:ascii="Times New Roman" w:hAnsi="Times New Roman" w:eastAsia="Times New Roman" w:cs="Times New Roman"/>
        <w:spacing w:val="-16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6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6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6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6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6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515" w:hanging="90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90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90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90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905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8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8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hint="default"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5">
      <w:start w:val="1"/>
      <w:numFmt w:val="bullet"/>
      <w:isLgl w:val="false"/>
      <w:suff w:val="tab"/>
      <w:lvlText w:val="•"/>
      <w:lvlJc w:val="left"/>
      <w:pPr>
        <w:ind w:left="5141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2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43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4" w:hanging="879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76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4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4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4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4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4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478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8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8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8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8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8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о"/>
      <w:lvlJc w:val="left"/>
      <w:pPr>
        <w:ind w:left="601" w:hanging="203"/>
      </w:pPr>
      <w:rPr>
        <w:rFonts w:hint="default" w:ascii="Times New Roman" w:hAnsi="Times New Roman" w:eastAsia="Times New Roman"/>
        <w:b/>
        <w:spacing w:val="-2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313" w:hanging="302"/>
      </w:pPr>
      <w:rPr>
        <w:rFonts w:hint="default" w:ascii="Times New Roman" w:hAnsi="Times New Roman" w:eastAsia="Times New Roman"/>
        <w:spacing w:val="-30"/>
        <w:sz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1660" w:hanging="3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721" w:hanging="3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782" w:hanging="3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842" w:hanging="3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903" w:hanging="3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64" w:hanging="3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02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hint="default" w:ascii="Times New Roman" w:hAnsi="Times New Roman" w:eastAsia="Times New Roman" w:cs="Times New Roman"/>
        <w:spacing w:val="-23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3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3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3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3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3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37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0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0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0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0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0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0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0"/>
    <w:uiPriority w:val="99"/>
  </w:style>
  <w:style w:type="character" w:styleId="45">
    <w:name w:val="Footer Char"/>
    <w:basedOn w:val="733"/>
    <w:link w:val="742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33" w:default="1">
    <w:name w:val="Default Paragraph Font"/>
    <w:semiHidden/>
  </w:style>
  <w:style w:type="table" w:styleId="73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semiHidden/>
  </w:style>
  <w:style w:type="paragraph" w:styleId="736">
    <w:name w:val="Body Text"/>
    <w:basedOn w:val="731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37" w:customStyle="1">
    <w:name w:val="List Paragraph"/>
    <w:basedOn w:val="731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38">
    <w:name w:val="Hyperlink"/>
    <w:uiPriority w:val="99"/>
    <w:rPr>
      <w:color w:val="0000ff"/>
      <w:u w:val="single"/>
    </w:rPr>
  </w:style>
  <w:style w:type="paragraph" w:styleId="739" w:customStyle="1">
    <w:name w:val="Table Paragraph"/>
    <w:basedOn w:val="731"/>
    <w:pPr>
      <w:widowControl w:val="off"/>
    </w:pPr>
    <w:rPr>
      <w:rFonts w:eastAsia="Calibri"/>
      <w:sz w:val="22"/>
      <w:szCs w:val="22"/>
    </w:rPr>
  </w:style>
  <w:style w:type="paragraph" w:styleId="740">
    <w:name w:val="Header"/>
    <w:basedOn w:val="731"/>
    <w:link w:val="741"/>
    <w:pPr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link w:val="740"/>
    <w:rPr>
      <w:sz w:val="24"/>
      <w:szCs w:val="24"/>
    </w:rPr>
  </w:style>
  <w:style w:type="paragraph" w:styleId="742">
    <w:name w:val="Footer"/>
    <w:basedOn w:val="731"/>
    <w:link w:val="743"/>
    <w:pPr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link w:val="742"/>
    <w:rPr>
      <w:sz w:val="24"/>
      <w:szCs w:val="24"/>
    </w:rPr>
  </w:style>
  <w:style w:type="paragraph" w:styleId="744" w:customStyle="1">
    <w:name w:val="ConsPlusNormal"/>
    <w:uiPriority w:val="99"/>
    <w:pPr>
      <w:ind w:firstLine="720"/>
      <w:widowControl w:val="off"/>
    </w:pPr>
    <w:rPr>
      <w:rFonts w:ascii="Arial" w:hAnsi="Arial"/>
    </w:rPr>
  </w:style>
  <w:style w:type="paragraph" w:styleId="745">
    <w:name w:val="Balloon Text"/>
    <w:basedOn w:val="731"/>
    <w:link w:val="746"/>
    <w:rPr>
      <w:rFonts w:ascii="Segoe UI" w:hAnsi="Segoe UI" w:cs="Segoe UI"/>
      <w:sz w:val="18"/>
      <w:szCs w:val="18"/>
    </w:rPr>
  </w:style>
  <w:style w:type="character" w:styleId="746" w:customStyle="1">
    <w:name w:val="Текст выноски Знак"/>
    <w:link w:val="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001</dc:creator>
  <cp:keywords/>
  <cp:lastModifiedBy>ICL</cp:lastModifiedBy>
  <cp:revision>3</cp:revision>
  <dcterms:created xsi:type="dcterms:W3CDTF">2026-01-06T09:23:00Z</dcterms:created>
  <dcterms:modified xsi:type="dcterms:W3CDTF">2026-01-12T11:02:57Z</dcterms:modified>
</cp:coreProperties>
</file>