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 </w:t>
      </w:r>
      <w:r>
        <w:rPr>
          <w:sz w:val="28"/>
          <w:szCs w:val="28"/>
        </w:rPr>
        <w:t xml:space="preserve"> заседание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Кобяковского </w:t>
      </w:r>
      <w:r>
        <w:rPr>
          <w:sz w:val="28"/>
          <w:szCs w:val="28"/>
        </w:rPr>
        <w:t xml:space="preserve">сельского поселения   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Кобяковского</w:t>
      </w:r>
      <w:r>
        <w:rPr>
          <w:bCs/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№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6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36"/>
        <w:ind w:left="0" w:right="4676" w:firstLine="0"/>
        <w:tabs>
          <w:tab w:val="left" w:pos="4772" w:leader="none"/>
          <w:tab w:val="left" w:pos="5529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</w:r>
    </w:p>
    <w:p>
      <w:pPr>
        <w:pStyle w:val="736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-1"/>
        <w:tabs>
          <w:tab w:val="left" w:pos="4772" w:leader="none"/>
          <w:tab w:val="left" w:pos="8108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b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 xml:space="preserve">Пестречинского муниципального района Республики Татарстан решил:</w:t>
      </w:r>
      <w:r>
        <w:rPr>
          <w:b/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(обнародовать) </w:t>
      </w:r>
      <w:r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1" w:tooltip="http://www.pestreci.tatarstan.ru" w:history="1">
        <w:r>
          <w:rPr>
            <w:sz w:val="28"/>
            <w:szCs w:val="28"/>
          </w:rPr>
          <w:t xml:space="preserve">http://</w:t>
        </w:r>
        <w:r>
          <w:rPr>
            <w:rStyle w:val="738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Р.А.Сайфутдинов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Утвержден</w:t>
      </w:r>
      <w:r>
        <w:rPr>
          <w:color w:val="000000"/>
        </w:rPr>
        <w:t xml:space="preserve">о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решением Совета </w:t>
      </w:r>
      <w:r>
        <w:t xml:space="preserve">Кобяковского</w:t>
      </w:r>
      <w:r>
        <w:rPr>
          <w:color w:val="000000"/>
        </w:rPr>
        <w:t xml:space="preserve">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t xml:space="preserve">Пестречинского муниципального района Республики Татарстан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от </w:t>
      </w:r>
      <w:r>
        <w:rPr>
          <w:color w:val="000000"/>
        </w:rPr>
        <w:t xml:space="preserve"> года</w:t>
      </w:r>
      <w:r>
        <w:rPr>
          <w:color w:val="000000"/>
        </w:rPr>
        <w:t xml:space="preserve"> №</w:t>
      </w:r>
      <w:r>
        <w:rPr>
          <w:color w:val="000000"/>
        </w:rPr>
        <w:t xml:space="preserve"> </w:t>
      </w:r>
      <w:r>
        <w:rPr>
          <w:color w:val="000000"/>
        </w:rPr>
      </w:r>
    </w:p>
    <w:p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ПОЛОЖЕНИЕ</w:t>
      </w:r>
      <w:r>
        <w:rPr>
          <w:sz w:val="26"/>
          <w:szCs w:val="26"/>
        </w:rPr>
      </w:r>
    </w:p>
    <w:p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муниципальной казне </w:t>
      </w:r>
      <w:r>
        <w:rPr>
          <w:sz w:val="26"/>
          <w:szCs w:val="26"/>
        </w:rPr>
        <w:t xml:space="preserve">Кобяковского</w:t>
      </w:r>
      <w:r>
        <w:rPr>
          <w:sz w:val="26"/>
          <w:szCs w:val="26"/>
        </w:rPr>
        <w:t xml:space="preserve"> сельского</w:t>
      </w:r>
      <w:r>
        <w:rPr>
          <w:sz w:val="26"/>
          <w:szCs w:val="26"/>
        </w:rPr>
      </w:r>
    </w:p>
    <w:p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поселения Пестречинского муниципального района</w:t>
      </w:r>
      <w:r>
        <w:rPr>
          <w:sz w:val="26"/>
          <w:szCs w:val="26"/>
        </w:rPr>
      </w:r>
    </w:p>
    <w:p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Общие положения</w:t>
      </w:r>
      <w:r>
        <w:rPr>
          <w:b/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Настоящее Положение разработано в соответствии с  Гражданским кодексом Российской Федерации, Федеральным законом от 20 марта 2025 года       № 33-ФЗ «Об общих принципах организации местного самоуправления в единой системе публичной власти», уставом </w:t>
      </w:r>
      <w:r>
        <w:rPr>
          <w:sz w:val="26"/>
          <w:szCs w:val="26"/>
        </w:rPr>
        <w:t xml:space="preserve">Кобяковского</w:t>
      </w:r>
      <w:r>
        <w:rPr>
          <w:sz w:val="26"/>
          <w:szCs w:val="26"/>
        </w:rPr>
        <w:t xml:space="preserve"> сельского поселения  Пестречинского муниципального района Республики Татарстан и определяет цели, задачи и общий порядок формирования муниципальной казны </w:t>
      </w:r>
      <w:r>
        <w:rPr>
          <w:sz w:val="26"/>
          <w:szCs w:val="26"/>
        </w:rPr>
        <w:t xml:space="preserve">Кобяковского </w:t>
      </w:r>
      <w:r>
        <w:rPr>
          <w:sz w:val="26"/>
          <w:szCs w:val="26"/>
        </w:rPr>
        <w:t xml:space="preserve">сельского поселения Пестречинского муниципального района Республики Татарстан (далее – сельское поселение), ее структуру и режим использования объектов муниципальной казны.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Муниципальную казну </w:t>
      </w:r>
      <w:r>
        <w:rPr>
          <w:sz w:val="26"/>
          <w:szCs w:val="26"/>
        </w:rPr>
        <w:t xml:space="preserve">Кобяковского</w:t>
      </w:r>
      <w:r>
        <w:rPr>
          <w:sz w:val="26"/>
          <w:szCs w:val="26"/>
        </w:rPr>
        <w:t xml:space="preserve"> сельского по</w:t>
      </w:r>
      <w:r>
        <w:rPr>
          <w:sz w:val="26"/>
          <w:szCs w:val="26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6"/>
          <w:szCs w:val="26"/>
        </w:rPr>
      </w:r>
    </w:p>
    <w:p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Цели и задачи управления и распоряжения имуществом</w:t>
      </w:r>
      <w:r>
        <w:rPr>
          <w:b/>
          <w:sz w:val="26"/>
          <w:szCs w:val="26"/>
        </w:rPr>
      </w:r>
    </w:p>
    <w:p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 казны</w:t>
      </w:r>
      <w:r>
        <w:rPr>
          <w:b/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оптимизация структуры и состава собственности сельского поселения;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обеспечение обязательств сельского поселения по гражданско-правовым сделкам;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содействие сохранению муниципальной казны.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пообъектный учет имущества, входящего в муниципальную казну, своевременное отражение его движения;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выявление и применение наиболее эффективных способов использования муниципального имущества;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6"/>
          <w:szCs w:val="26"/>
        </w:rPr>
      </w:r>
    </w:p>
    <w:p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Состав и источники формирования муниципальной казны</w:t>
      </w:r>
      <w:r>
        <w:rPr>
          <w:b/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Объектами муниципальной казны являются: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средства бюджета сельского поселения;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имущество, необходимое для обеспечения деятельности органа местного самоуправления;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нематериальные активы, закрепленные в муниципальной собственности;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Источниками образования муниципальной казны может быть имущество: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переданное в муниципаль</w:t>
      </w:r>
      <w:r>
        <w:rPr>
          <w:sz w:val="26"/>
          <w:szCs w:val="26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переданное безвозмездно юридическими и физическими лицами в муниципальную собственность сельского поселения;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оставшееся после ликвидации муниципальных учреждений и муниципальных предприятий;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Включение в состав муниципальной казны имущества, образованного за счет источников, указанных в пункте 3.2. осуществляется на основании Постановления Исполнительного комитета </w:t>
      </w:r>
      <w:r>
        <w:rPr>
          <w:sz w:val="26"/>
          <w:szCs w:val="26"/>
        </w:rPr>
        <w:t xml:space="preserve">Кобяковского</w:t>
      </w:r>
      <w:r>
        <w:rPr>
          <w:sz w:val="26"/>
          <w:szCs w:val="26"/>
        </w:rPr>
        <w:t xml:space="preserve"> сельского поселения Пестречинского муниципального района в соответствии с настоящим Положением.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sz w:val="26"/>
          <w:szCs w:val="26"/>
        </w:rPr>
        <w:t xml:space="preserve">Кобяковского</w:t>
      </w:r>
      <w:r>
        <w:rPr>
          <w:sz w:val="26"/>
          <w:szCs w:val="26"/>
        </w:rPr>
        <w:t xml:space="preserve"> сельского поселения Пестречинского муниципального района Республики Татарстан (далее – исполнительный комитет сельского поселения.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6"/>
          <w:szCs w:val="26"/>
        </w:rPr>
      </w:r>
    </w:p>
    <w:p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Учет имущества муниципальной казны</w:t>
      </w:r>
      <w:r>
        <w:rPr>
          <w:b/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</w:t>
      </w:r>
      <w:r>
        <w:rPr>
          <w:sz w:val="26"/>
          <w:szCs w:val="26"/>
        </w:rPr>
        <w:t xml:space="preserve">. Учет имущества муниципальной казны осуществляется в соответствии с приказом Министра экономического развития Российской Федерации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6"/>
          <w:szCs w:val="26"/>
        </w:rPr>
      </w:r>
    </w:p>
    <w:p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Порядок управления и распоряжения муниципальной казной</w:t>
      </w:r>
      <w:r>
        <w:rPr>
          <w:b/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закрепления на праве хозяйственного ведения за муниципальными предприятиями;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закрепления на праве оперативного управления за муниципальными учреждениями;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вступления в законную силу решения суда;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sz w:val="26"/>
          <w:szCs w:val="26"/>
        </w:rPr>
        <w:t xml:space="preserve">Кобяковского</w:t>
      </w:r>
      <w:r>
        <w:rPr>
          <w:sz w:val="26"/>
          <w:szCs w:val="26"/>
        </w:rPr>
        <w:t xml:space="preserve"> сельского поселения Пестречинского муниципального района Республики Татарстан, в подпунктах «в»-«и» пункта 5.2. на основании постановлений Исполнительного комитета </w:t>
      </w:r>
      <w:r>
        <w:rPr>
          <w:sz w:val="26"/>
          <w:szCs w:val="26"/>
        </w:rPr>
        <w:t xml:space="preserve">Кобяковского</w:t>
      </w:r>
      <w:r>
        <w:rPr>
          <w:sz w:val="26"/>
          <w:szCs w:val="26"/>
        </w:rPr>
        <w:t xml:space="preserve"> сельского поселения Пестречинского муниципального района Республики Татарстан.</w:t>
      </w:r>
      <w:r>
        <w:rPr>
          <w:sz w:val="26"/>
          <w:szCs w:val="26"/>
        </w:rPr>
      </w:r>
    </w:p>
    <w:p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Контроль за сохранностью и целевым использованием муниципальной казны</w:t>
      </w:r>
      <w:r>
        <w:rPr>
          <w:b/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6"/>
          <w:szCs w:val="26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6"/>
          <w:szCs w:val="26"/>
        </w:rPr>
      </w:r>
    </w:p>
    <w:p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9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9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9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9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9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9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hint="default"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hint="default"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hint="default" w:ascii="Times New Roman" w:hAnsi="Times New Roman" w:eastAsia="Times New Roman" w:cs="Times New Roman"/>
        <w:spacing w:val="-33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01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101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101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101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1018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hint="default"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hint="default" w:ascii="Times New Roman" w:hAnsi="Times New Roman" w:eastAsia="Times New Roman" w:cs="Times New Roman"/>
        <w:spacing w:val="-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2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hint="default"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648" w:hanging="87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65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1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97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13" w:hanging="87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hint="default" w:ascii="Times New Roman" w:hAnsi="Times New Roman" w:eastAsia="Times New Roman" w:cs="Times New Roman"/>
        <w:spacing w:val="-26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839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39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3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3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3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3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39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5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5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5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5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5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5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82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64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676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6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hint="default"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hint="default" w:ascii="Times New Roman" w:hAnsi="Times New Roman" w:eastAsia="Times New Roman" w:cs="Times New Roman"/>
        <w:spacing w:val="-16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6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6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6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6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6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515" w:hanging="90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90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90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90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905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8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8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hint="default"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5">
      <w:start w:val="1"/>
      <w:numFmt w:val="bullet"/>
      <w:isLgl w:val="false"/>
      <w:suff w:val="tab"/>
      <w:lvlText w:val="•"/>
      <w:lvlJc w:val="left"/>
      <w:pPr>
        <w:ind w:left="5141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2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43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4" w:hanging="879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76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4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4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4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4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4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478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8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8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8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8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8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о"/>
      <w:lvlJc w:val="left"/>
      <w:pPr>
        <w:ind w:left="601" w:hanging="203"/>
      </w:pPr>
      <w:rPr>
        <w:rFonts w:hint="default" w:ascii="Times New Roman" w:hAnsi="Times New Roman" w:eastAsia="Times New Roman"/>
        <w:b/>
        <w:spacing w:val="-2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313" w:hanging="302"/>
      </w:pPr>
      <w:rPr>
        <w:rFonts w:hint="default" w:ascii="Times New Roman" w:hAnsi="Times New Roman" w:eastAsia="Times New Roman"/>
        <w:spacing w:val="-30"/>
        <w:sz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1660" w:hanging="3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721" w:hanging="3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782" w:hanging="3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842" w:hanging="3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903" w:hanging="3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64" w:hanging="3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02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hint="default" w:ascii="Times New Roman" w:hAnsi="Times New Roman" w:eastAsia="Times New Roman" w:cs="Times New Roman"/>
        <w:spacing w:val="-23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3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3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3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3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3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37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0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0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0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0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0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0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0"/>
    <w:uiPriority w:val="99"/>
  </w:style>
  <w:style w:type="character" w:styleId="45">
    <w:name w:val="Footer Char"/>
    <w:basedOn w:val="733"/>
    <w:link w:val="742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33" w:default="1">
    <w:name w:val="Default Paragraph Font"/>
    <w:semiHidden/>
  </w:style>
  <w:style w:type="table" w:styleId="73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semiHidden/>
  </w:style>
  <w:style w:type="paragraph" w:styleId="736">
    <w:name w:val="Body Text"/>
    <w:basedOn w:val="731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37" w:customStyle="1">
    <w:name w:val="List Paragraph"/>
    <w:basedOn w:val="731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38">
    <w:name w:val="Hyperlink"/>
    <w:uiPriority w:val="99"/>
    <w:rPr>
      <w:color w:val="0000ff"/>
      <w:u w:val="single"/>
    </w:rPr>
  </w:style>
  <w:style w:type="paragraph" w:styleId="739" w:customStyle="1">
    <w:name w:val="Table Paragraph"/>
    <w:basedOn w:val="731"/>
    <w:pPr>
      <w:widowControl w:val="off"/>
    </w:pPr>
    <w:rPr>
      <w:rFonts w:eastAsia="Calibri"/>
      <w:sz w:val="22"/>
      <w:szCs w:val="22"/>
    </w:rPr>
  </w:style>
  <w:style w:type="paragraph" w:styleId="740">
    <w:name w:val="Header"/>
    <w:basedOn w:val="731"/>
    <w:link w:val="741"/>
    <w:pPr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link w:val="740"/>
    <w:rPr>
      <w:sz w:val="24"/>
      <w:szCs w:val="24"/>
    </w:rPr>
  </w:style>
  <w:style w:type="paragraph" w:styleId="742">
    <w:name w:val="Footer"/>
    <w:basedOn w:val="731"/>
    <w:link w:val="743"/>
    <w:pPr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link w:val="742"/>
    <w:rPr>
      <w:sz w:val="24"/>
      <w:szCs w:val="24"/>
    </w:rPr>
  </w:style>
  <w:style w:type="paragraph" w:styleId="744" w:customStyle="1">
    <w:name w:val="ConsPlusNormal"/>
    <w:uiPriority w:val="99"/>
    <w:pPr>
      <w:ind w:firstLine="720"/>
      <w:widowControl w:val="off"/>
    </w:pPr>
    <w:rPr>
      <w:rFonts w:ascii="Arial" w:hAnsi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001</dc:creator>
  <cp:keywords/>
  <cp:lastModifiedBy>ICL</cp:lastModifiedBy>
  <cp:revision>3</cp:revision>
  <dcterms:created xsi:type="dcterms:W3CDTF">2026-01-06T09:38:00Z</dcterms:created>
  <dcterms:modified xsi:type="dcterms:W3CDTF">2026-01-12T11:11:38Z</dcterms:modified>
</cp:coreProperties>
</file>