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Пятое</w:t>
      </w:r>
      <w:r>
        <w:rPr>
          <w:sz w:val="28"/>
          <w:szCs w:val="28"/>
        </w:rPr>
        <w:t xml:space="preserve"> заседание Совета </w:t>
      </w:r>
      <w:r>
        <w:rPr>
          <w:sz w:val="28"/>
          <w:szCs w:val="28"/>
        </w:rPr>
        <w:t xml:space="preserve">Кряш-Сердинского</w:t>
      </w:r>
      <w:r>
        <w:rPr>
          <w:sz w:val="28"/>
          <w:szCs w:val="28"/>
        </w:rPr>
        <w:t xml:space="preserve"> сельского поселения   </w:t>
      </w:r>
      <w:r>
        <w:rPr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муниципального района Республики Татарстан </w:t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  <w:t xml:space="preserve">Решение</w:t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Совета</w:t>
      </w:r>
      <w:r>
        <w:rPr>
          <w:bCs/>
          <w:sz w:val="28"/>
          <w:szCs w:val="28"/>
        </w:rPr>
        <w:t xml:space="preserve"> Кряш-Сердинского</w:t>
      </w:r>
      <w:r>
        <w:rPr>
          <w:bCs/>
          <w:sz w:val="28"/>
          <w:szCs w:val="28"/>
        </w:rPr>
        <w:t xml:space="preserve"> сельского </w:t>
      </w:r>
      <w:r>
        <w:rPr>
          <w:bCs/>
          <w:sz w:val="28"/>
          <w:szCs w:val="28"/>
        </w:rPr>
        <w:t xml:space="preserve">поселения </w:t>
      </w:r>
      <w:r>
        <w:rPr>
          <w:bCs/>
          <w:sz w:val="28"/>
          <w:szCs w:val="28"/>
        </w:rPr>
      </w:r>
    </w:p>
    <w:p>
      <w:pPr>
        <w:jc w:val="both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               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20</w:t>
      </w:r>
      <w:r>
        <w:rPr>
          <w:bCs/>
          <w:sz w:val="28"/>
          <w:szCs w:val="28"/>
        </w:rPr>
        <w:t xml:space="preserve">25</w:t>
      </w:r>
      <w:r>
        <w:rPr>
          <w:bCs/>
          <w:sz w:val="28"/>
          <w:szCs w:val="28"/>
        </w:rPr>
        <w:t xml:space="preserve"> года                                      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</w:t>
      </w:r>
      <w:r>
        <w:rPr>
          <w:bCs/>
          <w:sz w:val="28"/>
          <w:szCs w:val="28"/>
        </w:rPr>
        <w:tab/>
        <w:t xml:space="preserve">   </w:t>
      </w:r>
      <w:r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36"/>
        <w:ind w:right="192"/>
        <w:tabs>
          <w:tab w:val="left" w:pos="4772" w:leader="none"/>
          <w:tab w:val="left" w:pos="8108" w:leader="none"/>
        </w:tabs>
      </w:pPr>
      <w:r/>
      <w:r/>
    </w:p>
    <w:p>
      <w:pPr>
        <w:pStyle w:val="736"/>
        <w:ind w:left="0" w:right="4676" w:firstLine="0"/>
        <w:tabs>
          <w:tab w:val="left" w:pos="4772" w:leader="none"/>
          <w:tab w:val="left" w:pos="5529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казне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Кряш-Сердинского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</w:rPr>
      </w:r>
    </w:p>
    <w:p>
      <w:pPr>
        <w:pStyle w:val="736"/>
        <w:ind w:left="0" w:right="192" w:firstLine="0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right="-1"/>
        <w:tabs>
          <w:tab w:val="left" w:pos="4772" w:leader="none"/>
          <w:tab w:val="left" w:pos="8108" w:leader="none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повышения эффективности управления имуществом </w:t>
      </w:r>
      <w:r>
        <w:rPr>
          <w:sz w:val="28"/>
          <w:szCs w:val="28"/>
        </w:rPr>
        <w:t xml:space="preserve">Кряш-Сердинского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Республики Татарстан</w:t>
      </w:r>
      <w:r>
        <w:rPr>
          <w:sz w:val="28"/>
          <w:szCs w:val="28"/>
        </w:rPr>
        <w:t xml:space="preserve">, совершенствования системы его учета, сохранности и содержания, в соответствии со статьей 215 Гражданского кодекса Российской Федерации, г</w:t>
      </w:r>
      <w:r>
        <w:rPr>
          <w:sz w:val="28"/>
          <w:szCs w:val="28"/>
        </w:rPr>
        <w:t xml:space="preserve">лавой 7</w:t>
      </w:r>
      <w:r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 2025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№ 33</w:t>
      </w:r>
      <w:r>
        <w:rPr>
          <w:sz w:val="28"/>
          <w:szCs w:val="28"/>
        </w:rPr>
        <w:t xml:space="preserve">-ФЗ </w:t>
      </w:r>
      <w:r>
        <w:rPr>
          <w:sz w:val="28"/>
          <w:szCs w:val="28"/>
        </w:rPr>
        <w:t xml:space="preserve">«Об общих принципах организации местного самоуправ</w:t>
      </w:r>
      <w:r>
        <w:rPr>
          <w:sz w:val="28"/>
          <w:szCs w:val="28"/>
        </w:rPr>
        <w:t xml:space="preserve">ления в </w:t>
      </w:r>
      <w:r>
        <w:rPr>
          <w:sz w:val="28"/>
          <w:szCs w:val="28"/>
        </w:rPr>
        <w:t xml:space="preserve">единой системе публичной власти</w:t>
      </w:r>
      <w:r>
        <w:rPr>
          <w:sz w:val="28"/>
          <w:szCs w:val="28"/>
        </w:rPr>
        <w:t xml:space="preserve">», у</w:t>
      </w:r>
      <w:r>
        <w:rPr>
          <w:sz w:val="28"/>
          <w:szCs w:val="28"/>
        </w:rPr>
        <w:t xml:space="preserve">ставо</w:t>
      </w:r>
      <w:r>
        <w:rPr>
          <w:sz w:val="28"/>
          <w:szCs w:val="28"/>
        </w:rPr>
        <w:t xml:space="preserve">м Кряш-Сердинского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Татарстан, </w:t>
      </w:r>
      <w:r>
        <w:rPr>
          <w:b/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Кряш-Сердинского</w:t>
      </w:r>
      <w:r>
        <w:rPr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 xml:space="preserve">Пестречинского муниципального района Республики Татарстан решил:</w:t>
      </w:r>
      <w:r>
        <w:rPr>
          <w:b/>
          <w:sz w:val="28"/>
          <w:szCs w:val="28"/>
        </w:rPr>
      </w:r>
    </w:p>
    <w:p>
      <w:pPr>
        <w:pStyle w:val="737"/>
        <w:ind w:left="0" w:right="-1"/>
        <w:tabs>
          <w:tab w:val="left" w:pos="14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Положение о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казне </w:t>
      </w:r>
      <w:r>
        <w:rPr>
          <w:sz w:val="28"/>
          <w:szCs w:val="28"/>
        </w:rPr>
        <w:t xml:space="preserve">Кряш-Сердинского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Республики Татарстан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(приложение).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4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Определить уполномоченным органом по формированию, учету (ведение реестра) имущества муниципальной казны, контролю за содержанием, обслуживанием, надлежащим использование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имущества муниципальной казны </w:t>
      </w:r>
      <w:r>
        <w:rPr>
          <w:sz w:val="28"/>
          <w:szCs w:val="28"/>
        </w:rPr>
        <w:t xml:space="preserve">Кряш-Сердинского </w:t>
      </w:r>
      <w:r>
        <w:rPr>
          <w:sz w:val="28"/>
          <w:szCs w:val="28"/>
        </w:rPr>
        <w:t xml:space="preserve">сельского поселения Пестречинского муниципального района Республики Татарстан </w:t>
      </w:r>
      <w:r>
        <w:rPr>
          <w:sz w:val="28"/>
          <w:szCs w:val="28"/>
        </w:rPr>
        <w:t xml:space="preserve">МКУ «Централизованная бухгалтерия сельских поселений </w:t>
      </w:r>
      <w:r>
        <w:rPr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37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 xml:space="preserve">опубликовать (обнародовать) </w:t>
      </w:r>
      <w:r>
        <w:rPr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11" w:tooltip="http://www.pestreci.tatarstan.ru" w:history="1">
        <w:r>
          <w:rPr>
            <w:sz w:val="28"/>
            <w:szCs w:val="28"/>
          </w:rPr>
          <w:t xml:space="preserve">http://</w:t>
        </w:r>
        <w:r>
          <w:rPr>
            <w:rStyle w:val="738"/>
            <w:color w:val="auto"/>
            <w:sz w:val="28"/>
            <w:szCs w:val="28"/>
            <w:u w:val="none"/>
          </w:rPr>
          <w:t xml:space="preserve">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37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Контроль за исполнением настоящего решения </w:t>
      </w:r>
      <w:r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постоянную комиссию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вопросам экономического развития, бюджету, налогам и финансам 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Кряш-Сердинского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36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Кряш-Сердинского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          </w:t>
      </w:r>
      <w:r>
        <w:rPr>
          <w:sz w:val="28"/>
          <w:szCs w:val="28"/>
        </w:rPr>
        <w:t xml:space="preserve">Н.В. Морозов.</w:t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Утвержден</w:t>
      </w:r>
      <w:r>
        <w:rPr>
          <w:color w:val="000000"/>
        </w:rPr>
        <w:t xml:space="preserve">о</w:t>
      </w:r>
      <w:r>
        <w:rPr>
          <w:color w:val="000000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решением Совета </w:t>
      </w:r>
      <w:r>
        <w:rPr>
          <w:color w:val="000000"/>
        </w:rPr>
        <w:t xml:space="preserve">Кряш-Сердинского </w:t>
      </w:r>
      <w:r>
        <w:rPr>
          <w:color w:val="000000"/>
        </w:rPr>
        <w:t xml:space="preserve">сельского поселения </w:t>
      </w:r>
      <w:r>
        <w:rPr>
          <w:color w:val="000000"/>
        </w:rPr>
        <w:t xml:space="preserve">Пестречинского муниципального района Республики Татарстан</w:t>
      </w:r>
      <w:r>
        <w:rPr>
          <w:color w:val="000000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от               </w:t>
      </w:r>
      <w:r>
        <w:rPr>
          <w:color w:val="000000"/>
        </w:rPr>
        <w:t xml:space="preserve"> года</w:t>
      </w:r>
      <w:r>
        <w:rPr>
          <w:color w:val="000000"/>
        </w:rPr>
        <w:t xml:space="preserve"> № </w:t>
      </w:r>
      <w:r>
        <w:rPr>
          <w:color w:val="000000"/>
        </w:rPr>
      </w:r>
      <w:r>
        <w:rPr>
          <w:color w:val="000000"/>
        </w:rPr>
      </w:r>
    </w:p>
    <w:p>
      <w:pPr>
        <w:pStyle w:val="736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муниципальной казне </w:t>
      </w:r>
      <w:r>
        <w:rPr>
          <w:sz w:val="28"/>
          <w:szCs w:val="28"/>
        </w:rPr>
        <w:t xml:space="preserve">Кряш-Сердинского</w:t>
      </w:r>
      <w:r>
        <w:rPr>
          <w:sz w:val="28"/>
          <w:szCs w:val="28"/>
        </w:rPr>
        <w:t xml:space="preserve"> сельского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Общие положения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разработано в соответствии с  Гражданским кодексом Российской Федерации, Федеральным законом от 20 марта 2025 года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у</w:t>
      </w:r>
      <w:r>
        <w:rPr>
          <w:sz w:val="28"/>
          <w:szCs w:val="28"/>
        </w:rPr>
        <w:t xml:space="preserve">ставом </w:t>
      </w:r>
      <w:r>
        <w:rPr>
          <w:sz w:val="28"/>
          <w:szCs w:val="28"/>
        </w:rPr>
        <w:t xml:space="preserve">Кряш-Сердинского</w:t>
      </w:r>
      <w:r>
        <w:rPr>
          <w:sz w:val="28"/>
          <w:szCs w:val="28"/>
        </w:rPr>
        <w:t xml:space="preserve"> сельского поселения 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и определяет цели, задачи и общий порядок ф</w:t>
      </w:r>
      <w:r>
        <w:rPr>
          <w:sz w:val="28"/>
          <w:szCs w:val="28"/>
        </w:rPr>
        <w:t xml:space="preserve">ормирования муниципальной казны Кряш-Сердинского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(далее – сельское поселение)</w:t>
      </w:r>
      <w:r>
        <w:rPr>
          <w:sz w:val="28"/>
          <w:szCs w:val="28"/>
        </w:rPr>
        <w:t xml:space="preserve">, ее структуру и режим использования объектов муниципальной казны.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Муниципальную казну </w:t>
      </w:r>
      <w:r>
        <w:rPr>
          <w:sz w:val="28"/>
          <w:szCs w:val="28"/>
        </w:rPr>
        <w:t xml:space="preserve">Кряш-Сердинского</w:t>
      </w:r>
      <w:r>
        <w:rPr>
          <w:sz w:val="28"/>
          <w:szCs w:val="28"/>
        </w:rPr>
        <w:t xml:space="preserve"> сельского по</w:t>
      </w:r>
      <w:r>
        <w:rPr>
          <w:sz w:val="28"/>
          <w:szCs w:val="28"/>
        </w:rPr>
        <w:t xml:space="preserve">селения (далее – муниципальная казна) составляют средства местного бюджета и муниципальное имущество, не закрепленное за муниципальными унитарными предприятиями на праве хозяйственного ведения и муниципальными учреждениями на праве оперативного управления.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Цели и задачи управления и распоряжения имуществом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Целями управления и распоряжения муниципальной казной являются создание и укрепление материально-финансовой основы местного самоуправления: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оптимизация структуры и состава собственности </w:t>
      </w: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привлечение инвестиций и стимулирование предпринимательской активности на территории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обязательств сельского поселения по гражданско-правовым сделкам;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содействие сохранению муниципальной казны.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указанных целях при управлении и распоряжении имуществом муниципальной казны решаются следующие задачи: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пообъектный учет имущества, входящего в муниципальную казну, своевременное отражение его движения;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выявление и применение наиболее эффективных способов использования муниципального имущества;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за сохранностью и использованием муниципального имущества по целевому назначению.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Состав и источники формирования 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Объектами муниципальной казны являются: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средства бюджета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имущество, необходимое для обеспечения деятельности органа местного самоуправления;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нематериальные активы, закрепленны</w:t>
      </w:r>
      <w:r>
        <w:rPr>
          <w:sz w:val="28"/>
          <w:szCs w:val="28"/>
        </w:rPr>
        <w:t xml:space="preserve">е в муниципальной собственности;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иное движимое и недвижимое имущество, не закрепленное за муниципальными учреждениями и предприятиями в установленном законом порядке.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Источниками образования муниципальной казны может быть имущество: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переданное </w:t>
      </w:r>
      <w:r>
        <w:rPr>
          <w:sz w:val="28"/>
          <w:szCs w:val="28"/>
        </w:rPr>
        <w:t xml:space="preserve">в муниципаль</w:t>
      </w:r>
      <w:r>
        <w:rPr>
          <w:sz w:val="28"/>
          <w:szCs w:val="28"/>
        </w:rPr>
        <w:t xml:space="preserve">ную собственность сельского поселения в порядке, предусмотренным законодательством о разграничении полномочий между федеральными органами государственной власти, органами государственной власти субъектов Российской Федерации и муниципальными образованиями;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переданное в муниципальную собственность сельского поселения от иного муниципального образования;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вновь созданное или приобретенное непосредственно в муниципальную собственность за счет средств бюджета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переданное безвозмездно юридическими и физическими лицами в муниципальную собственность </w:t>
      </w: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оставшееся после ликвидации муниципальных учреждений и муниципальных предприятий;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бесхозяйное имущество, признанное по решению суда собственностью муниципального образования;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поступившее в собственность сельского поселения по иным основаниям, предусмотренным действующим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Включение в состав муниципальной казны имущества, образованного з</w:t>
      </w:r>
      <w:r>
        <w:rPr>
          <w:sz w:val="28"/>
          <w:szCs w:val="28"/>
        </w:rPr>
        <w:t xml:space="preserve">а счет источников, указанных в </w:t>
      </w:r>
      <w:r>
        <w:rPr>
          <w:sz w:val="28"/>
          <w:szCs w:val="28"/>
        </w:rPr>
        <w:t xml:space="preserve">пункте 3.2. осуществляется на основании Постановления Исполнительного комитета </w:t>
      </w:r>
      <w:r>
        <w:rPr>
          <w:sz w:val="28"/>
          <w:szCs w:val="28"/>
        </w:rPr>
        <w:t xml:space="preserve">Кряш-Сердинского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в соответствии с настоящим Положением.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Формирование, учет, оформление, и государственную регистрацию права собственности на имущество, входящее в состав муниципальной казны, осуществляет Исполнительный комитет </w:t>
      </w:r>
      <w:r>
        <w:rPr>
          <w:sz w:val="28"/>
          <w:szCs w:val="28"/>
        </w:rPr>
        <w:t xml:space="preserve">Кряш-Сердинского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</w:t>
      </w:r>
      <w:r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атарстан (далее – исполнительный комитет сельского поселения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Формирование муниципальной казны и финансирование ее содержания осуществляются за счет средств бюджета сельского поселения.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Учет имущества 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4.1. Имущество, составляющее муниципальную казну, принадлежит на праве собственности сельскому поселению.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Имущество, включенное в состав муниципальной казны, передается на баланс и подлежит отражению в бухгалтерской отчетности Исполнительного комитета сельского поселения. Учет имущества муниципальной казны осуществляется в соответствии с приказом Мин</w:t>
      </w:r>
      <w:r>
        <w:rPr>
          <w:sz w:val="28"/>
          <w:szCs w:val="28"/>
        </w:rPr>
        <w:t xml:space="preserve">истра экономического развития Российской Федерации</w:t>
      </w:r>
      <w:r>
        <w:rPr>
          <w:sz w:val="28"/>
          <w:szCs w:val="28"/>
        </w:rPr>
        <w:t xml:space="preserve"> от 30.08.2011 года № 424 «Об утверждении Порядка ведения органами местного самоуправления реестров муниципального имущества»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Имущество муниципальной казны, переданное юридическим лицам в пользование, подлежит бухгалтерскому учету у пользователей на забалансовом счете.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Оценка имущества, составляющего муниципальную казну, осуществляется по правилам, установленным законами и иными правовыми актами для оценки имущества, принадлежащего на праве собственности юридическим лицам.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Порядок управления и распоряжения муниципальной казной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Имущество, составляющее муниципальную казну, может быть передано в пользование юридическим и физическим лицам на основании заключения соответствующих договоров о передаче муниципального имущества в соответствии с действующим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Имущество может быть исключено из муниципальной казны в порядке, установленном законодательством Российской Федерации, нормативными правовыми актами органа местного самоуправления, в случаях: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возмездной или безвозмездной передачи из муниципальной собственности сельского поселения в государственную собственность субъектов Российской Федерации либо федеральную собственность Российской Федерации;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внесения муниципального имущества в качестве вкладов в акционерные общества, в случаях, предусмотренных действующим законодательством;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закрепления на праве хозяйственного ведения за муниципальными предприятиями;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закрепления на праве оперативного управления за муниципальными учреждениями;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отчуждения имущества вследствие гражданско-правовой сделки (продажа, дарение, мена);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вступления в законную силу решения суда;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принятия решения о списании имущества муниципальной казны в результате физического износа;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потерь, возникших вследствие причинения ущерба недвижимому имуществу, а также его уничтожения либо повреждения при стихийных бедствиях и других чрезвычайных ситуациях природного и техногенного характера;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прекращения права муниципальной собственности на имущество муниципальной казны по иным основаниям, предусмотренным действующим законодательством Российской Федерации.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Исключение имущества из состава муниципальной казны при его приватизации осуществляется в порядке, предусмотренным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Исключение из состава муниципальной казны имущества, в случаях, указанных в подпунктах «а» и «б» пункта 5.2. осуществляется на основании решений Совета </w:t>
      </w:r>
      <w:r>
        <w:rPr>
          <w:sz w:val="28"/>
          <w:szCs w:val="28"/>
        </w:rPr>
        <w:t xml:space="preserve">Кряш-Сердинского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Татарстан, в подпунктах «в»-«и» пункта 5.2. на основании постано</w:t>
      </w:r>
      <w:r>
        <w:rPr>
          <w:sz w:val="28"/>
          <w:szCs w:val="28"/>
        </w:rPr>
        <w:t xml:space="preserve">влений Исполнительного комитета Кряш-Сердинского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Контроль за сохранностью и целевым использованием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Контроль за сохранностью и целевым использованием имущества, входящего в состав муниципальной казны, переданного в пользование юр</w:t>
      </w:r>
      <w:r>
        <w:rPr>
          <w:sz w:val="28"/>
          <w:szCs w:val="28"/>
        </w:rPr>
        <w:t xml:space="preserve">идическим и физическим лицам, а также привлечение этих лиц к ответственности за ненадлежащее использование переданных объектов осуществляется Исполнительным комитетом сельского поселения в соответствии с условиями заключенных договоров о передаче имущества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контроля Исполнительный комитет сельского поселения по мере необходимости осуществляет проверки состояния переданного имущества и соблюдения условий договоров о передаче имущества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срок передачи имущества, входящего в состав муниципальной казны, в пользование обязанности по содержанию имущества и риск случайной гибели имущества подлежат закреплению за пользователем при заключении договора передачи имущества.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В период, когда имущество, входящее в состав муниципальной казны, не обременено договорными обязательствами, контроль за его состоянием исполняет Исполнительный комитет сельского поселения.</w:t>
      </w:r>
      <w:r>
        <w:rPr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ind w:left="0" w:firstLine="0"/>
      <w:jc w:val="left"/>
      <w:spacing w:line="14" w:lineRule="auto"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<wp:simplePos x="0" y="0"/>
              <wp:positionH relativeFrom="page">
                <wp:posOffset>3912870</wp:posOffset>
              </wp:positionH>
              <wp:positionV relativeFrom="page">
                <wp:posOffset>9939655</wp:posOffset>
              </wp:positionV>
              <wp:extent cx="193040" cy="16764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40"/>
                            <w:spacing w:before="14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</w:r>
                          <w:r>
                            <w:rPr>
                              <w:rFonts w:ascii="Arial"/>
                              <w:sz w:val="20"/>
                            </w:rPr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-251657728;o:allowoverlap:true;o:allowincell:true;mso-position-horizontal-relative:page;margin-left:308.10pt;mso-position-horizontal:absolute;mso-position-vertical-relative:page;margin-top:782.65pt;mso-position-vertical:absolute;width:15.20pt;height:13.2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ind w:left="40"/>
                      <w:spacing w:before="14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</w:r>
                    <w:r>
                      <w:rPr>
                        <w:rFonts w:ascii="Arial"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jc w:val="right"/>
      <w:tabs>
        <w:tab w:val="clear" w:pos="4677" w:leader="none"/>
        <w:tab w:val="left" w:pos="6608" w:leader="none"/>
        <w:tab w:val="clear" w:pos="9355" w:leader="none"/>
      </w:tabs>
    </w:pPr>
    <w:r/>
    <w:r>
      <w:tab/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" w:hanging="720"/>
        <w:tabs>
          <w:tab w:val="num" w:pos="1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-690" w:hanging="720"/>
        <w:tabs>
          <w:tab w:val="num" w:pos="-69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-1035" w:hanging="1080"/>
        <w:tabs>
          <w:tab w:val="num" w:pos="-103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-1740" w:hanging="1080"/>
        <w:tabs>
          <w:tab w:val="num" w:pos="-174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-2085" w:hanging="1440"/>
        <w:tabs>
          <w:tab w:val="num" w:pos="-208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-2430" w:hanging="1800"/>
        <w:tabs>
          <w:tab w:val="num" w:pos="-24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3135" w:hanging="1800"/>
        <w:tabs>
          <w:tab w:val="num" w:pos="-313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3480" w:hanging="2160"/>
        <w:tabs>
          <w:tab w:val="num" w:pos="-3480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791"/>
      </w:pPr>
      <w:rPr>
        <w:rFonts w:hint="default" w:cs="Times New Roman"/>
      </w:rPr>
    </w:lvl>
    <w:lvl w:ilvl="1">
      <w:start w:val="4"/>
      <w:numFmt w:val="decimal"/>
      <w:isLgl w:val="false"/>
      <w:suff w:val="tab"/>
      <w:lvlText w:val="%1.%2"/>
      <w:lvlJc w:val="left"/>
      <w:pPr>
        <w:ind w:left="313" w:hanging="791"/>
      </w:pPr>
      <w:rPr>
        <w:rFonts w:hint="default" w:cs="Times New Roman"/>
      </w:rPr>
    </w:lvl>
    <w:lvl w:ilvl="2">
      <w:start w:val="2"/>
      <w:numFmt w:val="decimal"/>
      <w:isLgl w:val="false"/>
      <w:suff w:val="tab"/>
      <w:lvlText w:val="%1.%2.%3."/>
      <w:lvlJc w:val="left"/>
      <w:pPr>
        <w:ind w:left="313" w:hanging="791"/>
      </w:pPr>
      <w:rPr>
        <w:rFonts w:hint="default" w:ascii="Times New Roman" w:hAnsi="Times New Roman" w:eastAsia="Times New Roman" w:cs="Times New Roman"/>
        <w:spacing w:val="-22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91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91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91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91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91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91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2" w:hanging="584"/>
      </w:pPr>
      <w:rPr>
        <w:rFonts w:hint="default" w:cs="Times New Roman"/>
      </w:rPr>
    </w:lvl>
    <w:lvl w:ilvl="1">
      <w:start w:val="4"/>
      <w:numFmt w:val="decimal"/>
      <w:isLgl w:val="false"/>
      <w:suff w:val="tab"/>
      <w:lvlText w:val="%1.%2."/>
      <w:lvlJc w:val="left"/>
      <w:pPr>
        <w:ind w:left="312" w:hanging="584"/>
      </w:pPr>
      <w:rPr>
        <w:rFonts w:hint="default" w:ascii="Times New Roman" w:hAnsi="Times New Roman" w:eastAsia="Times New Roman" w:cs="Times New Roman"/>
        <w:spacing w:val="-28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1100"/>
      </w:pPr>
      <w:rPr>
        <w:rFonts w:hint="default" w:ascii="Times New Roman" w:hAnsi="Times New Roman" w:eastAsia="Times New Roman" w:cs="Times New Roman"/>
        <w:spacing w:val="-25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3" w:hanging="1018"/>
      </w:pPr>
      <w:rPr>
        <w:rFonts w:hint="default" w:ascii="Times New Roman" w:hAnsi="Times New Roman" w:eastAsia="Times New Roman" w:cs="Times New Roman"/>
        <w:spacing w:val="-33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1018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1018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1018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1018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1018"/>
      </w:pPr>
      <w:rPr>
        <w:rFonts w:hint="default"/>
      </w:rPr>
    </w:lvl>
  </w:abstractNum>
  <w:abstractNum w:abstractNumId="3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800" w:hanging="360"/>
        <w:tabs>
          <w:tab w:val="num" w:pos="18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  <w:tabs>
          <w:tab w:val="num" w:pos="25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  <w:tabs>
          <w:tab w:val="num" w:pos="32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  <w:tabs>
          <w:tab w:val="num" w:pos="39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  <w:tabs>
          <w:tab w:val="num" w:pos="46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  <w:tabs>
          <w:tab w:val="num" w:pos="54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  <w:tabs>
          <w:tab w:val="num" w:pos="61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  <w:tabs>
          <w:tab w:val="num" w:pos="68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  <w:tabs>
          <w:tab w:val="num" w:pos="7560" w:leader="none"/>
        </w:tabs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13" w:hanging="569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313" w:hanging="569"/>
      </w:pPr>
      <w:rPr>
        <w:rFonts w:hint="default" w:ascii="Times New Roman" w:hAnsi="Times New Roman" w:eastAsia="Times New Roman" w:cs="Times New Roman"/>
        <w:spacing w:val="-12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761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61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61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61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61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61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61"/>
      </w:pPr>
      <w:rPr>
        <w:rFonts w:hint="default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313" w:hanging="692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692"/>
      </w:pPr>
      <w:rPr>
        <w:rFonts w:hint="default" w:ascii="Times New Roman" w:hAnsi="Times New Roman" w:eastAsia="Times New Roman" w:cs="Times New Roman"/>
        <w:spacing w:val="-3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692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92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92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92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92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92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92"/>
      </w:pPr>
      <w:rPr>
        <w:rFonts w:hint="default"/>
      </w:r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698" w:hanging="676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"/>
      <w:lvlJc w:val="left"/>
      <w:pPr>
        <w:ind w:left="1698" w:hanging="676"/>
      </w:pPr>
      <w:rPr>
        <w:rFonts w:hint="default" w:cs="Times New Roman"/>
      </w:rPr>
    </w:lvl>
    <w:lvl w:ilvl="2">
      <w:start w:val="4"/>
      <w:numFmt w:val="decimal"/>
      <w:isLgl w:val="false"/>
      <w:suff w:val="tab"/>
      <w:lvlText w:val="%1.%2.%3."/>
      <w:lvlJc w:val="left"/>
      <w:pPr>
        <w:ind w:left="1698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01" w:hanging="879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648" w:hanging="879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565" w:hanging="87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481" w:hanging="87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397" w:hanging="87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313" w:hanging="879"/>
      </w:pPr>
      <w:rPr>
        <w:rFonts w:hint="default"/>
      </w:rPr>
    </w:lvl>
  </w:abstractNum>
  <w:abstractNum w:abstractNumId="7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935" w:hanging="360"/>
        <w:tabs>
          <w:tab w:val="num" w:pos="19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55" w:hanging="360"/>
        <w:tabs>
          <w:tab w:val="num" w:pos="265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75" w:hanging="180"/>
        <w:tabs>
          <w:tab w:val="num" w:pos="337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95" w:hanging="360"/>
        <w:tabs>
          <w:tab w:val="num" w:pos="409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15" w:hanging="360"/>
        <w:tabs>
          <w:tab w:val="num" w:pos="481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35" w:hanging="180"/>
        <w:tabs>
          <w:tab w:val="num" w:pos="553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55" w:hanging="360"/>
        <w:tabs>
          <w:tab w:val="num" w:pos="625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75" w:hanging="360"/>
        <w:tabs>
          <w:tab w:val="num" w:pos="697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95" w:hanging="180"/>
        <w:tabs>
          <w:tab w:val="num" w:pos="7695" w:leader="none"/>
        </w:tabs>
      </w:pPr>
    </w:lvl>
  </w:abstractNum>
  <w:abstractNum w:abstractNumId="8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313" w:hanging="839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839"/>
      </w:pPr>
      <w:rPr>
        <w:rFonts w:hint="default" w:ascii="Times New Roman" w:hAnsi="Times New Roman" w:eastAsia="Times New Roman" w:cs="Times New Roman"/>
        <w:spacing w:val="-26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839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839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839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83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83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83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839"/>
      </w:pPr>
      <w:rPr>
        <w:rFonts w:hint="default"/>
      </w:rPr>
    </w:lvl>
  </w:abstractNum>
  <w:abstractNum w:abstractNumId="9">
    <w:multiLevelType w:val="hybridMultilevel"/>
    <w:lvl w:ilvl="0">
      <w:start w:val="9"/>
      <w:numFmt w:val="decimal"/>
      <w:isLgl w:val="false"/>
      <w:suff w:val="tab"/>
      <w:lvlText w:val="%1"/>
      <w:lvlJc w:val="left"/>
      <w:pPr>
        <w:ind w:left="313" w:hanging="55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556" w:hanging="556"/>
      </w:pPr>
      <w:rPr>
        <w:rFonts w:hint="default" w:ascii="Times New Roman" w:hAnsi="Times New Roman" w:eastAsia="Times New Roman" w:cs="Times New Roman"/>
        <w:spacing w:val="-2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56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5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5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5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5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5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56"/>
      </w:pPr>
      <w:rPr>
        <w:rFonts w:hint="default"/>
      </w:rPr>
    </w:lvl>
  </w:abstractNum>
  <w:abstractNum w:abstractNumId="10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1495" w:hanging="473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313" w:hanging="473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421" w:hanging="67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382" w:hanging="67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342" w:hanging="67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67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264" w:hanging="67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224" w:hanging="676"/>
      </w:pPr>
      <w:rPr>
        <w:rFonts w:hint="default"/>
      </w:rPr>
    </w:lvl>
  </w:abstractNum>
  <w:abstractNum w:abstractNumId="11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313" w:hanging="69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696"/>
      </w:pPr>
      <w:rPr>
        <w:rFonts w:hint="default" w:ascii="Times New Roman" w:hAnsi="Times New Roman" w:eastAsia="Times New Roman" w:cs="Times New Roman"/>
        <w:spacing w:val="-27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696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9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9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9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9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9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96"/>
      </w:pPr>
      <w:rPr>
        <w:rFonts w:hint="default"/>
      </w:rPr>
    </w:lvl>
  </w:abstractNum>
  <w:abstractNum w:abstractNumId="1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525" w:hanging="720"/>
        <w:tabs>
          <w:tab w:val="num" w:pos="52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30" w:hanging="720"/>
        <w:tabs>
          <w:tab w:val="num" w:pos="33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95" w:hanging="1080"/>
        <w:tabs>
          <w:tab w:val="num" w:pos="49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0" w:hanging="1080"/>
        <w:tabs>
          <w:tab w:val="num" w:pos="3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5" w:hanging="1440"/>
        <w:tabs>
          <w:tab w:val="num" w:pos="46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30" w:hanging="1800"/>
        <w:tabs>
          <w:tab w:val="num" w:pos="6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5" w:hanging="1800"/>
        <w:tabs>
          <w:tab w:val="num" w:pos="43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00" w:hanging="2160"/>
        <w:tabs>
          <w:tab w:val="num" w:pos="600" w:leader="none"/>
        </w:tabs>
      </w:pPr>
      <w:rPr>
        <w:rFonts w:hint="default"/>
      </w:rPr>
    </w:lvl>
  </w:abstractNum>
  <w:abstractNum w:abstractNumId="13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13" w:hanging="52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526"/>
      </w:pPr>
      <w:rPr>
        <w:rFonts w:hint="default" w:ascii="Times New Roman" w:hAnsi="Times New Roman" w:eastAsia="Times New Roman" w:cs="Times New Roman"/>
        <w:spacing w:val="-29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864"/>
      </w:pPr>
      <w:rPr>
        <w:rFonts w:hint="default" w:ascii="Times New Roman" w:hAnsi="Times New Roman" w:eastAsia="Times New Roman" w:cs="Times New Roman"/>
        <w:spacing w:val="-16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864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864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864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864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864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864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70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313" w:hanging="706"/>
      </w:pPr>
      <w:rPr>
        <w:rFonts w:ascii="Times New Roman" w:hAnsi="Times New Roman" w:eastAsia="Calibri" w:cs="Times New Roman"/>
        <w:spacing w:val="-20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698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3" w:hanging="905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515" w:hanging="905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453" w:hanging="905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392" w:hanging="905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330" w:hanging="905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269" w:hanging="905"/>
      </w:pPr>
      <w:rPr>
        <w:rFonts w:hint="default"/>
      </w:rPr>
    </w:lvl>
  </w:abstractNum>
  <w:abstractNum w:abstractNumId="1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00" w:hanging="720"/>
        <w:tabs>
          <w:tab w:val="num" w:pos="90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870" w:hanging="720"/>
        <w:tabs>
          <w:tab w:val="num" w:pos="387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805" w:hanging="1080"/>
        <w:tabs>
          <w:tab w:val="num" w:pos="580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380" w:hanging="1080"/>
        <w:tabs>
          <w:tab w:val="num" w:pos="73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9315" w:hanging="1440"/>
        <w:tabs>
          <w:tab w:val="num" w:pos="931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1250" w:hanging="1800"/>
        <w:tabs>
          <w:tab w:val="num" w:pos="1125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2825" w:hanging="1800"/>
        <w:tabs>
          <w:tab w:val="num" w:pos="1282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760" w:hanging="2160"/>
        <w:tabs>
          <w:tab w:val="num" w:pos="14760" w:leader="none"/>
        </w:tabs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584"/>
      </w:pPr>
      <w:rPr>
        <w:rFonts w:hint="default" w:cs="Times New Roman"/>
      </w:rPr>
    </w:lvl>
    <w:lvl w:ilvl="1">
      <w:start w:val="5"/>
      <w:numFmt w:val="decimal"/>
      <w:isLgl w:val="false"/>
      <w:suff w:val="tab"/>
      <w:lvlText w:val="%1.%2."/>
      <w:lvlJc w:val="left"/>
      <w:pPr>
        <w:ind w:left="313" w:hanging="584"/>
      </w:pPr>
      <w:rPr>
        <w:rFonts w:hint="default" w:ascii="Times New Roman" w:hAnsi="Times New Roman" w:eastAsia="Times New Roman" w:cs="Times New Roman"/>
        <w:spacing w:val="-34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84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84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84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84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84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84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84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3" w:hanging="443"/>
      </w:pPr>
      <w:rPr>
        <w:rFonts w:hint="default" w:ascii="Times New Roman" w:hAnsi="Times New Roman" w:eastAsia="Times New Roman" w:cs="Times New Roman"/>
        <w:spacing w:val="-34"/>
        <w:sz w:val="27"/>
        <w:szCs w:val="27"/>
      </w:rPr>
    </w:lvl>
    <w:lvl w:ilvl="1">
      <w:start w:val="1"/>
      <w:numFmt w:val="decimal"/>
      <w:isLgl w:val="false"/>
      <w:suff w:val="tab"/>
      <w:lvlText w:val="%2."/>
      <w:lvlJc w:val="left"/>
      <w:pPr>
        <w:ind w:left="3134" w:hanging="270"/>
      </w:pPr>
      <w:rPr>
        <w:rFonts w:hint="default" w:ascii="Times New Roman" w:hAnsi="Times New Roman" w:eastAsia="Times New Roman" w:cs="Times New Roman"/>
        <w:b/>
        <w:bCs/>
        <w:sz w:val="27"/>
        <w:szCs w:val="27"/>
      </w:rPr>
    </w:lvl>
    <w:lvl w:ilvl="2">
      <w:start w:val="1"/>
      <w:numFmt w:val="decimal"/>
      <w:isLgl w:val="false"/>
      <w:suff w:val="tab"/>
      <w:lvlText w:val="%2.%3."/>
      <w:lvlJc w:val="left"/>
      <w:pPr>
        <w:ind w:left="1495" w:hanging="473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2.%3.%4."/>
      <w:lvlJc w:val="left"/>
      <w:pPr>
        <w:ind w:left="313" w:hanging="1468"/>
      </w:pPr>
      <w:rPr>
        <w:rFonts w:hint="default" w:ascii="Times New Roman" w:hAnsi="Times New Roman" w:eastAsia="Times New Roman" w:cs="Times New Roman"/>
        <w:spacing w:val="-2"/>
        <w:sz w:val="27"/>
        <w:szCs w:val="27"/>
      </w:rPr>
    </w:lvl>
    <w:lvl w:ilvl="4">
      <w:start w:val="1"/>
      <w:numFmt w:val="decimal"/>
      <w:isLgl w:val="false"/>
      <w:suff w:val="tab"/>
      <w:lvlText w:val="%2.%3.%4.%5."/>
      <w:lvlJc w:val="left"/>
      <w:pPr>
        <w:ind w:left="313" w:hanging="879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5">
      <w:start w:val="1"/>
      <w:numFmt w:val="bullet"/>
      <w:isLgl w:val="false"/>
      <w:suff w:val="tab"/>
      <w:lvlText w:val="•"/>
      <w:lvlJc w:val="left"/>
      <w:pPr>
        <w:ind w:left="5141" w:hanging="87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142" w:hanging="87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43" w:hanging="87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44" w:hanging="879"/>
      </w:pPr>
      <w:rPr>
        <w:rFonts w:hint="default"/>
      </w:rPr>
    </w:lvl>
  </w:abstractNum>
  <w:abstractNum w:abstractNumId="18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4" w:hanging="676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"/>
      <w:lvlJc w:val="left"/>
      <w:pPr>
        <w:ind w:left="314" w:hanging="676"/>
      </w:pPr>
      <w:rPr>
        <w:rFonts w:hint="default" w:cs="Times New Roman"/>
      </w:rPr>
    </w:lvl>
    <w:lvl w:ilvl="2">
      <w:start w:val="5"/>
      <w:numFmt w:val="decimal"/>
      <w:isLgl w:val="false"/>
      <w:suff w:val="tab"/>
      <w:lvlText w:val="%1.%2.%3."/>
      <w:lvlJc w:val="left"/>
      <w:pPr>
        <w:ind w:left="314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7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7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7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7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7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76"/>
      </w:pPr>
      <w:rPr>
        <w:rFonts w:hint="default"/>
      </w:rPr>
    </w:lvl>
  </w:abstractNum>
  <w:abstractNum w:abstractNumId="19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13" w:hanging="478"/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313" w:hanging="478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478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478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478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478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478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478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478"/>
      </w:pPr>
      <w:rPr>
        <w:rFonts w:hint="default"/>
      </w:r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4" w:hanging="768"/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314" w:hanging="768"/>
      </w:pPr>
      <w:rPr>
        <w:rFonts w:hint="default" w:ascii="Times New Roman" w:hAnsi="Times New Roman" w:eastAsia="Times New Roman" w:cs="Times New Roman"/>
        <w:spacing w:val="-22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45" w:hanging="785"/>
      </w:pPr>
      <w:rPr>
        <w:rFonts w:hint="default" w:ascii="Times New Roman" w:hAnsi="Times New Roman" w:eastAsia="Times New Roman" w:cs="Times New Roman"/>
        <w:spacing w:val="-27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85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85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85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85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85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85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о"/>
      <w:lvlJc w:val="left"/>
      <w:pPr>
        <w:ind w:left="601" w:hanging="203"/>
      </w:pPr>
      <w:rPr>
        <w:rFonts w:hint="default" w:ascii="Times New Roman" w:hAnsi="Times New Roman" w:eastAsia="Times New Roman"/>
        <w:b/>
        <w:spacing w:val="-2"/>
        <w:sz w:val="28"/>
        <w:szCs w:val="28"/>
      </w:rPr>
    </w:lvl>
    <w:lvl w:ilvl="1">
      <w:start w:val="1"/>
      <w:numFmt w:val="bullet"/>
      <w:isLgl w:val="false"/>
      <w:suff w:val="tab"/>
      <w:lvlText w:val="-"/>
      <w:lvlJc w:val="left"/>
      <w:pPr>
        <w:ind w:left="313" w:hanging="302"/>
      </w:pPr>
      <w:rPr>
        <w:rFonts w:hint="default" w:ascii="Times New Roman" w:hAnsi="Times New Roman" w:eastAsia="Times New Roman"/>
        <w:spacing w:val="-30"/>
        <w:sz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1660" w:hanging="302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2721" w:hanging="302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3782" w:hanging="302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4842" w:hanging="302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5903" w:hanging="302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6964" w:hanging="302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024" w:hanging="302"/>
      </w:pPr>
      <w:rPr>
        <w:rFonts w:hint="default"/>
      </w:rPr>
    </w:lvl>
  </w:abstractNum>
  <w:abstractNum w:abstractNumId="22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13" w:hanging="488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488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737"/>
      </w:pPr>
      <w:rPr>
        <w:rFonts w:hint="default" w:ascii="Times New Roman" w:hAnsi="Times New Roman" w:eastAsia="Times New Roman" w:cs="Times New Roman"/>
        <w:spacing w:val="-23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37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37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37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37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37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37"/>
      </w:pPr>
      <w:rPr>
        <w:rFonts w:hint="default"/>
      </w:rPr>
    </w:lvl>
  </w:abstractNum>
  <w:abstractNum w:abstractNumId="23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13" w:hanging="50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500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00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00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00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00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00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00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0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8"/>
  </w:num>
  <w:num w:numId="4">
    <w:abstractNumId w:val="9"/>
  </w:num>
  <w:num w:numId="5">
    <w:abstractNumId w:val="5"/>
  </w:num>
  <w:num w:numId="6">
    <w:abstractNumId w:val="19"/>
  </w:num>
  <w:num w:numId="7">
    <w:abstractNumId w:val="13"/>
  </w:num>
  <w:num w:numId="8">
    <w:abstractNumId w:val="10"/>
  </w:num>
  <w:num w:numId="9">
    <w:abstractNumId w:val="22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6"/>
  </w:num>
  <w:num w:numId="15">
    <w:abstractNumId w:val="4"/>
  </w:num>
  <w:num w:numId="16">
    <w:abstractNumId w:val="16"/>
  </w:num>
  <w:num w:numId="17">
    <w:abstractNumId w:val="1"/>
  </w:num>
  <w:num w:numId="18">
    <w:abstractNumId w:val="14"/>
  </w:num>
  <w:num w:numId="19">
    <w:abstractNumId w:val="21"/>
  </w:num>
  <w:num w:numId="20">
    <w:abstractNumId w:val="15"/>
  </w:num>
  <w:num w:numId="21">
    <w:abstractNumId w:val="3"/>
  </w:num>
  <w:num w:numId="22">
    <w:abstractNumId w:val="7"/>
  </w:num>
  <w:num w:numId="23">
    <w:abstractNumId w:val="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33"/>
    <w:link w:val="732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31"/>
    <w:next w:val="7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3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31"/>
    <w:next w:val="7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3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31"/>
    <w:next w:val="7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3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1"/>
    <w:next w:val="7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3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1"/>
    <w:next w:val="73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3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1"/>
    <w:next w:val="7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1"/>
    <w:next w:val="7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1"/>
    <w:next w:val="7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31"/>
    <w:next w:val="7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33"/>
    <w:link w:val="34"/>
    <w:uiPriority w:val="10"/>
    <w:rPr>
      <w:sz w:val="48"/>
      <w:szCs w:val="48"/>
    </w:rPr>
  </w:style>
  <w:style w:type="paragraph" w:styleId="36">
    <w:name w:val="Subtitle"/>
    <w:basedOn w:val="731"/>
    <w:next w:val="7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33"/>
    <w:link w:val="36"/>
    <w:uiPriority w:val="11"/>
    <w:rPr>
      <w:sz w:val="24"/>
      <w:szCs w:val="24"/>
    </w:rPr>
  </w:style>
  <w:style w:type="paragraph" w:styleId="38">
    <w:name w:val="Quote"/>
    <w:basedOn w:val="731"/>
    <w:next w:val="7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1"/>
    <w:next w:val="7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33"/>
    <w:link w:val="740"/>
    <w:uiPriority w:val="99"/>
  </w:style>
  <w:style w:type="character" w:styleId="45">
    <w:name w:val="Footer Char"/>
    <w:basedOn w:val="733"/>
    <w:link w:val="742"/>
    <w:uiPriority w:val="99"/>
  </w:style>
  <w:style w:type="paragraph" w:styleId="46">
    <w:name w:val="Caption"/>
    <w:basedOn w:val="731"/>
    <w:next w:val="73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33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33"/>
    <w:uiPriority w:val="99"/>
    <w:unhideWhenUsed/>
    <w:rPr>
      <w:vertAlign w:val="superscript"/>
    </w:rPr>
  </w:style>
  <w:style w:type="paragraph" w:styleId="178">
    <w:name w:val="endnote text"/>
    <w:basedOn w:val="7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3"/>
    <w:uiPriority w:val="99"/>
    <w:semiHidden/>
    <w:unhideWhenUsed/>
    <w:rPr>
      <w:vertAlign w:val="superscript"/>
    </w:rPr>
  </w:style>
  <w:style w:type="paragraph" w:styleId="181">
    <w:name w:val="toc 1"/>
    <w:basedOn w:val="731"/>
    <w:next w:val="7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1"/>
    <w:next w:val="7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1"/>
    <w:next w:val="7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1"/>
    <w:next w:val="7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1"/>
    <w:next w:val="7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1"/>
    <w:next w:val="7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1"/>
    <w:next w:val="7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1"/>
    <w:next w:val="7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1"/>
    <w:next w:val="7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1"/>
    <w:next w:val="731"/>
    <w:uiPriority w:val="99"/>
    <w:unhideWhenUsed/>
    <w:pPr>
      <w:spacing w:after="0" w:afterAutospacing="0"/>
    </w:pPr>
  </w:style>
  <w:style w:type="paragraph" w:styleId="731" w:default="1">
    <w:name w:val="Normal"/>
    <w:qFormat/>
    <w:rPr>
      <w:sz w:val="24"/>
      <w:szCs w:val="24"/>
    </w:rPr>
  </w:style>
  <w:style w:type="paragraph" w:styleId="732">
    <w:name w:val="Heading 1"/>
    <w:basedOn w:val="731"/>
    <w:qFormat/>
    <w:pPr>
      <w:ind w:left="3134" w:hanging="270"/>
      <w:widowControl w:val="off"/>
      <w:outlineLvl w:val="0"/>
    </w:pPr>
    <w:rPr>
      <w:rFonts w:eastAsia="Calibri"/>
      <w:b/>
      <w:bCs/>
      <w:sz w:val="27"/>
      <w:szCs w:val="27"/>
    </w:rPr>
  </w:style>
  <w:style w:type="character" w:styleId="733" w:default="1">
    <w:name w:val="Default Paragraph Font"/>
    <w:semiHidden/>
  </w:style>
  <w:style w:type="table" w:styleId="734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default="1">
    <w:name w:val="No List"/>
    <w:semiHidden/>
  </w:style>
  <w:style w:type="paragraph" w:styleId="736">
    <w:name w:val="Body Text"/>
    <w:basedOn w:val="731"/>
    <w:pPr>
      <w:ind w:left="313" w:firstLine="709"/>
      <w:jc w:val="both"/>
      <w:widowControl w:val="off"/>
    </w:pPr>
    <w:rPr>
      <w:rFonts w:eastAsia="Calibri"/>
      <w:sz w:val="27"/>
      <w:szCs w:val="27"/>
    </w:rPr>
  </w:style>
  <w:style w:type="paragraph" w:styleId="737" w:customStyle="1">
    <w:name w:val="List Paragraph"/>
    <w:basedOn w:val="731"/>
    <w:pPr>
      <w:ind w:left="313" w:firstLine="709"/>
      <w:jc w:val="both"/>
      <w:widowControl w:val="off"/>
    </w:pPr>
    <w:rPr>
      <w:rFonts w:eastAsia="Calibri"/>
      <w:sz w:val="22"/>
      <w:szCs w:val="22"/>
    </w:rPr>
  </w:style>
  <w:style w:type="character" w:styleId="738">
    <w:name w:val="Hyperlink"/>
    <w:uiPriority w:val="99"/>
    <w:rPr>
      <w:color w:val="0000ff"/>
      <w:u w:val="single"/>
    </w:rPr>
  </w:style>
  <w:style w:type="paragraph" w:styleId="739" w:customStyle="1">
    <w:name w:val="Table Paragraph"/>
    <w:basedOn w:val="731"/>
    <w:pPr>
      <w:widowControl w:val="off"/>
    </w:pPr>
    <w:rPr>
      <w:rFonts w:eastAsia="Calibri"/>
      <w:sz w:val="22"/>
      <w:szCs w:val="22"/>
    </w:rPr>
  </w:style>
  <w:style w:type="paragraph" w:styleId="740">
    <w:name w:val="Header"/>
    <w:basedOn w:val="731"/>
    <w:link w:val="741"/>
    <w:pPr>
      <w:tabs>
        <w:tab w:val="center" w:pos="4677" w:leader="none"/>
        <w:tab w:val="right" w:pos="9355" w:leader="none"/>
      </w:tabs>
    </w:pPr>
  </w:style>
  <w:style w:type="character" w:styleId="741" w:customStyle="1">
    <w:name w:val="Верхний колонтитул Знак"/>
    <w:link w:val="740"/>
    <w:rPr>
      <w:sz w:val="24"/>
      <w:szCs w:val="24"/>
    </w:rPr>
  </w:style>
  <w:style w:type="paragraph" w:styleId="742">
    <w:name w:val="Footer"/>
    <w:basedOn w:val="731"/>
    <w:link w:val="743"/>
    <w:pPr>
      <w:tabs>
        <w:tab w:val="center" w:pos="4677" w:leader="none"/>
        <w:tab w:val="right" w:pos="9355" w:leader="none"/>
      </w:tabs>
    </w:pPr>
  </w:style>
  <w:style w:type="character" w:styleId="743" w:customStyle="1">
    <w:name w:val="Нижний колонтитул Знак"/>
    <w:link w:val="742"/>
    <w:rPr>
      <w:sz w:val="24"/>
      <w:szCs w:val="24"/>
    </w:rPr>
  </w:style>
  <w:style w:type="paragraph" w:styleId="744" w:customStyle="1">
    <w:name w:val="ConsPlusNormal"/>
    <w:uiPriority w:val="99"/>
    <w:pPr>
      <w:ind w:firstLine="720"/>
      <w:widowControl w:val="off"/>
    </w:pPr>
    <w:rPr>
      <w:rFonts w:ascii="Arial" w:hAnsi="Arial"/>
    </w:rPr>
  </w:style>
  <w:style w:type="paragraph" w:styleId="745">
    <w:name w:val="Balloon Text"/>
    <w:basedOn w:val="731"/>
    <w:link w:val="746"/>
    <w:rPr>
      <w:rFonts w:ascii="Segoe UI" w:hAnsi="Segoe UI" w:cs="Segoe UI"/>
      <w:sz w:val="18"/>
      <w:szCs w:val="18"/>
    </w:rPr>
  </w:style>
  <w:style w:type="character" w:styleId="746" w:customStyle="1">
    <w:name w:val="Текст выноски Знак"/>
    <w:link w:val="7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001</dc:creator>
  <cp:keywords/>
  <cp:lastModifiedBy>ICL</cp:lastModifiedBy>
  <cp:revision>3</cp:revision>
  <dcterms:created xsi:type="dcterms:W3CDTF">2026-01-06T10:35:00Z</dcterms:created>
  <dcterms:modified xsi:type="dcterms:W3CDTF">2026-01-12T12:08:15Z</dcterms:modified>
</cp:coreProperties>
</file>