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Отар-Дубровского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Отар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Ф.Г.Каримуллин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Отар-Дубровского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</w:t>
      </w:r>
      <w:r>
        <w:rPr>
          <w:sz w:val="28"/>
          <w:szCs w:val="28"/>
        </w:rPr>
        <w:t xml:space="preserve">е разработано в соответствии с </w:t>
      </w:r>
      <w:r>
        <w:rPr>
          <w:sz w:val="28"/>
          <w:szCs w:val="28"/>
        </w:rPr>
        <w:t xml:space="preserve">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link w:val="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2026-01-06T11:13:00Z</dcterms:created>
  <dcterms:modified xsi:type="dcterms:W3CDTF">2026-01-12T12:30:14Z</dcterms:modified>
</cp:coreProperties>
</file>