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Шестое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Шигалеевского</w:t>
      </w:r>
      <w:r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   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676" w:firstLine="0"/>
        <w:tabs>
          <w:tab w:val="left" w:pos="4772" w:leader="none"/>
          <w:tab w:val="left" w:pos="5529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bCs/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bCs/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/>
          <w:sz w:val="28"/>
          <w:szCs w:val="28"/>
        </w:rPr>
        <w:t xml:space="preserve">Совет </w:t>
      </w:r>
      <w:r>
        <w:rPr>
          <w:bCs/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bCs/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bCs/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(обнародовать) </w:t>
      </w:r>
      <w:r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sz w:val="28"/>
            <w:szCs w:val="28"/>
          </w:rPr>
          <w:t xml:space="preserve">http://</w:t>
        </w:r>
        <w:r>
          <w:rPr>
            <w:rStyle w:val="73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Совета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Л.Р.Хабибуллин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решением Совета </w:t>
      </w:r>
      <w:r>
        <w:rPr>
          <w:bCs/>
        </w:rPr>
        <w:t xml:space="preserve">Шигалеевского</w:t>
      </w:r>
      <w:r>
        <w:rPr>
          <w:color w:val="000000"/>
        </w:rPr>
        <w:t xml:space="preserve">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от            </w:t>
      </w:r>
      <w:r>
        <w:rPr>
          <w:color w:val="000000"/>
        </w:rPr>
        <w:t xml:space="preserve"> 2025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 </w:t>
      </w:r>
      <w:r>
        <w:rPr>
          <w:color w:val="000000"/>
        </w:rPr>
      </w:r>
      <w:r>
        <w:rPr>
          <w:color w:val="000000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bCs/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ставом </w:t>
      </w:r>
      <w:r>
        <w:rPr>
          <w:bCs/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bCs/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(далее – сельское поселение)</w:t>
      </w:r>
      <w:r>
        <w:rPr>
          <w:sz w:val="28"/>
          <w:szCs w:val="28"/>
        </w:rPr>
        <w:t xml:space="preserve">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bCs/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</w:t>
      </w:r>
      <w:r>
        <w:rPr>
          <w:sz w:val="28"/>
          <w:szCs w:val="28"/>
        </w:rPr>
        <w:t xml:space="preserve">е в муниципальной собственности;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</w:t>
      </w:r>
      <w:r>
        <w:rPr>
          <w:sz w:val="28"/>
          <w:szCs w:val="28"/>
        </w:rPr>
        <w:t xml:space="preserve">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</w:t>
      </w:r>
      <w:r>
        <w:rPr>
          <w:sz w:val="28"/>
          <w:szCs w:val="28"/>
        </w:rPr>
        <w:t xml:space="preserve">а счет источников, указанных в </w:t>
      </w:r>
      <w:r>
        <w:rPr>
          <w:sz w:val="28"/>
          <w:szCs w:val="28"/>
        </w:rPr>
        <w:t xml:space="preserve">пункте 3.2. осуществляется на основании Постановления Исполнительного комитета </w:t>
      </w:r>
      <w:r>
        <w:rPr>
          <w:bCs/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bCs/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 (далее – исполнительный комитет сельского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поселения. Учет имущества муниципальной казны осуществляется в соответствии с приказом Мин</w:t>
      </w:r>
      <w:r>
        <w:rPr>
          <w:sz w:val="28"/>
          <w:szCs w:val="28"/>
        </w:rPr>
        <w:t xml:space="preserve">истра экономического развития Российской Федерации</w:t>
      </w:r>
      <w:r>
        <w:rPr>
          <w:sz w:val="28"/>
          <w:szCs w:val="28"/>
        </w:rPr>
        <w:t xml:space="preserve">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bCs/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в подпунктах «в»-«и» пункта 5.2. на основании постановлений Исполнительного комитета </w:t>
      </w:r>
      <w:r>
        <w:rPr>
          <w:bCs/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Контроль за сохранностью и целевым 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709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semiHidden/>
  </w:style>
  <w:style w:type="table" w:styleId="73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semiHidden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List Paragraph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001</dc:creator>
  <cp:keywords/>
  <cp:lastModifiedBy>ICL</cp:lastModifiedBy>
  <cp:revision>3</cp:revision>
  <dcterms:created xsi:type="dcterms:W3CDTF">2026-01-07T13:35:00Z</dcterms:created>
  <dcterms:modified xsi:type="dcterms:W3CDTF">2026-01-12T13:09:43Z</dcterms:modified>
</cp:coreProperties>
</file>