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пятого созыва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     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 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«Об оплате труда главы </w:t>
      </w:r>
      <w:r>
        <w:rPr>
          <w:sz w:val="28"/>
          <w:szCs w:val="28"/>
        </w:rPr>
        <w:t xml:space="preserve">и муниципальных служащих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Янцеварского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апреля 2021 года №18 «Об оплате труда главы и муниципальных служащих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(с изменениями, утверждёнными решениями Совета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 xml:space="preserve">10 октября 2022 года № 50, 29 декабря 2022 года № 60, 29 мая 2024 года № 95</w:t>
      </w:r>
      <w:r>
        <w:rPr>
          <w:sz w:val="28"/>
          <w:szCs w:val="28"/>
        </w:rPr>
        <w:t xml:space="preserve">, от 31 января 2025 года №111</w:t>
      </w:r>
      <w:r>
        <w:rPr>
          <w:sz w:val="28"/>
          <w:szCs w:val="28"/>
        </w:rPr>
        <w:t xml:space="preserve">, от 23 мая 2025 года №116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21 091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9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В.Н.Таланов</w:t>
      </w:r>
      <w:r/>
    </w:p>
    <w:sectPr>
      <w:footnotePr/>
      <w:endnotePr/>
      <w:type w:val="nextPage"/>
      <w:pgSz w:w="11906" w:h="16838" w:orient="portrait"/>
      <w:pgMar w:top="568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23</cp:revision>
  <dcterms:created xsi:type="dcterms:W3CDTF">2022-12-26T07:58:00Z</dcterms:created>
  <dcterms:modified xsi:type="dcterms:W3CDTF">2026-01-12T13:13:58Z</dcterms:modified>
</cp:coreProperties>
</file>