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0"/>
        <w:tabs>
          <w:tab w:val="left" w:pos="7688" w:leader="none"/>
        </w:tabs>
      </w:pPr>
      <w:r/>
      <w:r>
        <w:tab/>
        <w:t xml:space="preserve">Проект </w:t>
      </w:r>
      <w:r/>
    </w:p>
    <w:tbl>
      <w:tblPr>
        <w:tblW w:w="11125" w:type="dxa"/>
        <w:tblInd w:w="-45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vAlign w:val="top"/>
            <w:textDirection w:val="lrTb"/>
            <w:noWrap w:val="false"/>
          </w:tcPr>
          <w:p>
            <w:pPr>
              <w:pStyle w:val="640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40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40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pStyle w:val="640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40"/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Пестрецы, ул. Советская, 18</w:t>
            </w:r>
            <w:r/>
          </w:p>
          <w:p>
            <w:pPr>
              <w:pStyle w:val="640"/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pStyle w:val="640"/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9531" cy="1087100"/>
                      <wp:effectExtent l="0" t="0" r="0" b="0"/>
                      <wp:docPr id="1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9531" cy="108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7pt;height:85.6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vAlign w:val="top"/>
            <w:textDirection w:val="lrTb"/>
            <w:noWrap w:val="false"/>
          </w:tcPr>
          <w:p>
            <w:pPr>
              <w:pStyle w:val="640"/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pStyle w:val="640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40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40"/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pStyle w:val="640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авылы, Совет урамы, 18</w:t>
            </w:r>
            <w:r/>
          </w:p>
          <w:p>
            <w:pPr>
              <w:pStyle w:val="640"/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vAlign w:val="top"/>
            <w:textDirection w:val="lrTb"/>
            <w:noWrap w:val="false"/>
          </w:tcPr>
          <w:p>
            <w:pPr>
              <w:pStyle w:val="640"/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</w:t>
            </w:r>
            <w:r>
              <w:rPr>
                <w:sz w:val="20"/>
              </w:rPr>
              <w:t xml:space="preserve">:</w:t>
            </w:r>
            <w:r>
              <w:rPr>
                <w:sz w:val="20"/>
              </w:rPr>
              <w:t xml:space="preserve"> (84367) 3-02-01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pStyle w:val="640"/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  <w:r>
        <w:rPr>
          <w:b/>
          <w:sz w:val="16"/>
          <w:szCs w:val="16"/>
          <w:lang w:val="en-US"/>
        </w:rPr>
      </w:r>
    </w:p>
    <w:p>
      <w:pPr>
        <w:pStyle w:val="640"/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  <w:tab/>
        <w:tab/>
        <w:tab/>
        <w:tab/>
        <w:tab/>
        <w:tab/>
        <w:tab/>
        <w:tab/>
        <w:t xml:space="preserve">КАРАР</w:t>
      </w:r>
      <w:r>
        <w:rPr>
          <w:b/>
          <w:sz w:val="32"/>
          <w:szCs w:val="32"/>
          <w:lang w:val="en-US" w:eastAsia="zh-CN"/>
        </w:rPr>
      </w:r>
      <w:r>
        <w:rPr>
          <w:b/>
          <w:sz w:val="32"/>
          <w:szCs w:val="32"/>
          <w:lang w:val="en-US" w:eastAsia="zh-CN"/>
        </w:rPr>
      </w:r>
    </w:p>
    <w:p>
      <w:pPr>
        <w:pStyle w:val="640"/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640"/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«____»____________20__ г.</w:t>
        <w:tab/>
        <w:tab/>
        <w:tab/>
        <w:tab/>
        <w:tab/>
        <w:tab/>
        <w:tab/>
        <w:t xml:space="preserve">№______</w:t>
      </w:r>
      <w:r>
        <w:rPr>
          <w:sz w:val="28"/>
          <w:szCs w:val="28"/>
        </w:rPr>
      </w:r>
    </w:p>
    <w:p>
      <w:pPr>
        <w:pStyle w:val="640"/>
        <w:ind w:right="4535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</w:r>
      <w:r>
        <w:rPr>
          <w:rFonts w:eastAsia="SimSun"/>
          <w:sz w:val="28"/>
          <w:szCs w:val="28"/>
          <w:lang w:eastAsia="zh-CN"/>
        </w:rPr>
      </w:r>
    </w:p>
    <w:p>
      <w:pPr>
        <w:pStyle w:val="640"/>
        <w:ind w:right="4818"/>
        <w:jc w:val="both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Об утверждении нормативов стоимости оказания услуг, связанных с обеспечением антитеррористической защищенности объектов (территорий) образовательных организаций, находящихся на территории Пестречинского муниципального района Республики Татарстан</w:t>
      </w:r>
      <w:r>
        <w:rPr>
          <w:bCs/>
          <w:sz w:val="28"/>
          <w:szCs w:val="28"/>
        </w:rPr>
        <w:t xml:space="preserve"> на 2026 год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40"/>
        <w:jc w:val="center"/>
        <w:widowControl w:val="off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40"/>
        <w:ind w:firstLine="56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от 02.08.2019 г</w:t>
      </w:r>
      <w:r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1006 «Об утверждении требований к антитеррористической защищенности объектов (территорий) Министерства просвещени</w:t>
      </w:r>
      <w:r>
        <w:rPr>
          <w:sz w:val="28"/>
          <w:szCs w:val="28"/>
        </w:rPr>
        <w:t xml:space="preserve">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постановлениями Кабинета Министров Республики Татарстан от 23.11.2021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1112 «Об утверждении Методических рекомендаций о порядке определения нормативов</w:t>
      </w:r>
      <w:r>
        <w:rPr>
          <w:sz w:val="28"/>
          <w:szCs w:val="28"/>
        </w:rPr>
        <w:t xml:space="preserve"> стоимости услуг, связанных с обеспечением антитеррористической защищенности объектов (территорий) государственных и муниципальных образовательных организаций Республики Татарстан, при осуществлении их закупок у частных охранных организаций», от 24.11.2021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1114 «Об утверждении нормативов стоимости услуг, связанн</w:t>
      </w:r>
      <w:r>
        <w:rPr>
          <w:sz w:val="28"/>
          <w:szCs w:val="28"/>
        </w:rPr>
        <w:t xml:space="preserve">ых с обеспечением антитеррористической защищенности объектов (территорий) государственных и муниципальных образовательных организаций Республики Татарстан, при осуществлении их закупок у частных охранных организаций, и установлении количества постов охраны</w:t>
      </w:r>
      <w:r>
        <w:rPr>
          <w:sz w:val="28"/>
          <w:szCs w:val="28"/>
        </w:rPr>
        <w:t xml:space="preserve"> с 12-часовым режимом работы», У</w:t>
      </w:r>
      <w:r>
        <w:rPr>
          <w:sz w:val="28"/>
          <w:szCs w:val="28"/>
        </w:rPr>
        <w:t xml:space="preserve">ставом Пестречинского муниципального района, Исполнительный комитет Пестречинского муниципального района Республики Татарстан </w:t>
      </w:r>
      <w:r>
        <w:rPr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640"/>
        <w:ind w:firstLine="56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Утвердить нормативы стоимости оказания услуг, связанных с обеспечением антитеррористической защищенности объектов (территорий) образовательных организаций, находящихся на территории Пестречинского муниципального района Республики Татарстан (приложение).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56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56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56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56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ind w:firstLine="568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 С целью эффективного использования бюджетных средств по оказанию услуг, связанных с обеспечением антитеррористической защищенности объектов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(территорий) образовательных организаций, находящихся на территории Пестречинского муниципального района, во время пребывания детей в образовательной организации охра</w:t>
      </w:r>
      <w:r>
        <w:rPr>
          <w:sz w:val="28"/>
          <w:szCs w:val="28"/>
        </w:rPr>
        <w:t xml:space="preserve">на объекта производится силами специализированной охранной организацией, в период отсутствия детей (ночное время, выходные, праздничные дни и каникулярный период) посредством штатных единиц, предусмотренных в штатном расписании образовательной организации.</w:t>
      </w:r>
      <w:r>
        <w:rPr>
          <w:sz w:val="28"/>
          <w:szCs w:val="28"/>
        </w:rPr>
      </w:r>
    </w:p>
    <w:p>
      <w:pPr>
        <w:pStyle w:val="655"/>
        <w:ind w:firstLine="568"/>
        <w:jc w:val="both"/>
        <w:spacing w:before="0" w:beforeAutospacing="0" w:after="0" w:afterAutospacing="0"/>
        <w:rPr>
          <w:rFonts w:eastAsia="SimSun"/>
          <w:bCs/>
          <w:sz w:val="28"/>
          <w:szCs w:val="28"/>
          <w:lang w:eastAsia="zh-CN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Опубликовать (обна</w:t>
      </w:r>
      <w:r>
        <w:rPr>
          <w:sz w:val="28"/>
          <w:szCs w:val="28"/>
        </w:rPr>
        <w:t xml:space="preserve">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 http:// www.-pestreci.tatarstan.ru и на «Официальном портале правовой инф</w:t>
      </w:r>
      <w:r>
        <w:rPr>
          <w:sz w:val="28"/>
          <w:szCs w:val="28"/>
        </w:rPr>
        <w:t xml:space="preserve">ормации Республики Татарстан» в </w:t>
      </w:r>
      <w:r>
        <w:rPr>
          <w:sz w:val="28"/>
          <w:szCs w:val="28"/>
        </w:rPr>
        <w:t xml:space="preserve">информационно-телекоммуникационной сети Интернет: http://pravo.tatarstan.ru.</w:t>
      </w:r>
      <w:r>
        <w:rPr>
          <w:rFonts w:eastAsia="SimSun"/>
          <w:bCs/>
          <w:sz w:val="28"/>
          <w:szCs w:val="28"/>
          <w:lang w:eastAsia="zh-CN"/>
        </w:rPr>
      </w:r>
      <w:r>
        <w:rPr>
          <w:rFonts w:eastAsia="SimSun"/>
          <w:bCs/>
          <w:sz w:val="28"/>
          <w:szCs w:val="28"/>
          <w:lang w:eastAsia="zh-CN"/>
        </w:rPr>
      </w:r>
    </w:p>
    <w:p>
      <w:pPr>
        <w:pStyle w:val="658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оставляю за собой.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8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8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8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</w:r>
      <w:r>
        <w:rPr>
          <w:rFonts w:eastAsia="SimSun"/>
          <w:sz w:val="28"/>
          <w:szCs w:val="28"/>
          <w:lang w:eastAsia="zh-CN"/>
        </w:rPr>
      </w:r>
    </w:p>
    <w:p>
      <w:pPr>
        <w:pStyle w:val="6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</w:t>
      </w:r>
      <w:r>
        <w:rPr>
          <w:rFonts w:eastAsia="Calibri"/>
          <w:sz w:val="28"/>
          <w:szCs w:val="28"/>
          <w:lang w:eastAsia="en-US"/>
        </w:rPr>
        <w:t xml:space="preserve">уководит</w:t>
      </w:r>
      <w:r>
        <w:rPr>
          <w:rFonts w:eastAsia="Calibri"/>
          <w:sz w:val="28"/>
          <w:szCs w:val="28"/>
          <w:lang w:eastAsia="en-US"/>
        </w:rPr>
        <w:t xml:space="preserve">ель</w:t>
      </w:r>
      <w:r>
        <w:rPr>
          <w:rFonts w:eastAsia="Calibri"/>
          <w:sz w:val="28"/>
          <w:szCs w:val="28"/>
          <w:lang w:eastAsia="en-US"/>
        </w:rPr>
        <w:t xml:space="preserve"> Исполнительного комитета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Пестречинского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40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района</w:t>
      </w:r>
      <w:r>
        <w:rPr>
          <w:rFonts w:eastAsia="Calibri"/>
          <w:sz w:val="28"/>
          <w:szCs w:val="28"/>
          <w:lang w:eastAsia="en-US"/>
        </w:rPr>
        <w:t xml:space="preserve"> Республики Татарстан</w:t>
      </w:r>
      <w:r>
        <w:rPr>
          <w:rFonts w:eastAsia="Calibri"/>
          <w:sz w:val="28"/>
          <w:szCs w:val="28"/>
          <w:lang w:eastAsia="en-US"/>
        </w:rPr>
        <w:tab/>
        <w:tab/>
        <w:tab/>
      </w:r>
      <w:r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И.Р. Давлетханов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</w:t>
      </w:r>
      <w:r>
        <w:rPr>
          <w:rFonts w:eastAsia="Calibri"/>
          <w:lang w:eastAsia="en-US"/>
        </w:rPr>
        <w:t xml:space="preserve">                 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ind w:left="567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ind w:left="567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постановлению</w:t>
      </w:r>
      <w:r>
        <w:rPr>
          <w:rFonts w:eastAsia="Calibri"/>
          <w:lang w:eastAsia="en-US"/>
        </w:rPr>
        <w:t xml:space="preserve">          </w:t>
      </w:r>
      <w:r>
        <w:rPr>
          <w:rFonts w:eastAsia="Calibri"/>
          <w:lang w:eastAsia="en-US"/>
        </w:rPr>
        <w:t xml:space="preserve">                              </w:t>
      </w:r>
      <w:r>
        <w:rPr>
          <w:rFonts w:eastAsia="Calibri"/>
          <w:lang w:eastAsia="en-US"/>
        </w:rPr>
        <w:t xml:space="preserve">Исполнительного комитета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</w:r>
    </w:p>
    <w:p>
      <w:pPr>
        <w:pStyle w:val="640"/>
        <w:ind w:left="567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Пестречинского муниципального района</w:t>
      </w:r>
      <w:r>
        <w:rPr>
          <w:rFonts w:eastAsia="Calibri"/>
          <w:lang w:eastAsia="en-US"/>
        </w:rPr>
      </w:r>
    </w:p>
    <w:p>
      <w:pPr>
        <w:pStyle w:val="640"/>
        <w:ind w:left="567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Республики Татарстан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640"/>
        <w:ind w:left="5529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 xml:space="preserve">от </w:t>
      </w:r>
      <w:r>
        <w:rPr>
          <w:rFonts w:eastAsia="Calibri"/>
          <w:lang w:eastAsia="en-US"/>
        </w:rPr>
        <w:t xml:space="preserve">___.___.2025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года №  </w:t>
      </w:r>
      <w:r>
        <w:rPr>
          <w:rFonts w:eastAsia="Calibri"/>
          <w:lang w:eastAsia="en-US"/>
        </w:rPr>
        <w:t xml:space="preserve">____ </w:t>
      </w:r>
      <w:r>
        <w:rPr>
          <w:rFonts w:eastAsia="Calibri"/>
          <w:lang w:eastAsia="en-US"/>
        </w:rPr>
      </w:r>
    </w:p>
    <w:p>
      <w:pPr>
        <w:pStyle w:val="640"/>
        <w:ind w:left="567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</w:r>
    </w:p>
    <w:p>
      <w:pPr>
        <w:pStyle w:val="6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640"/>
        <w:jc w:val="center"/>
        <w:widowControl w:val="off"/>
        <w:rPr>
          <w:rFonts w:ascii="Arial, sans-serif" w:hAnsi="Arial, sans-serif"/>
          <w:b/>
          <w:sz w:val="28"/>
          <w:szCs w:val="28"/>
        </w:rPr>
      </w:pP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ормативы стоимости оказания услуг, связанных с обеспечением антитеррористической защищенности объектов (территорий) образовательных организаций, находящихся на территории Пестречинского муниципального района Республики Татарстан</w:t>
      </w:r>
      <w:r>
        <w:rPr>
          <w:rFonts w:ascii="Arial, sans-serif" w:hAnsi="Arial, sans-serif"/>
          <w:b/>
          <w:sz w:val="28"/>
          <w:szCs w:val="28"/>
        </w:rPr>
      </w:r>
      <w:r>
        <w:rPr>
          <w:rFonts w:ascii="Arial, sans-serif" w:hAnsi="Arial, sans-serif"/>
          <w:b/>
          <w:sz w:val="28"/>
          <w:szCs w:val="28"/>
        </w:rPr>
      </w:r>
    </w:p>
    <w:p>
      <w:pPr>
        <w:pStyle w:val="640"/>
        <w:jc w:val="center"/>
        <w:widowControl w:val="off"/>
        <w:rPr>
          <w:rFonts w:ascii="Arial, sans-serif" w:hAnsi="Arial, sans-serif"/>
          <w:sz w:val="28"/>
          <w:szCs w:val="28"/>
        </w:rPr>
      </w:pPr>
      <w:r>
        <w:rPr>
          <w:rFonts w:ascii="Arial, sans-serif" w:hAnsi="Arial, sans-serif"/>
          <w:sz w:val="28"/>
          <w:szCs w:val="28"/>
        </w:rPr>
      </w:r>
      <w:r>
        <w:rPr>
          <w:rFonts w:ascii="Arial, sans-serif" w:hAnsi="Arial, sans-serif"/>
          <w:sz w:val="28"/>
          <w:szCs w:val="28"/>
        </w:rPr>
      </w:r>
    </w:p>
    <w:p>
      <w:pPr>
        <w:pStyle w:val="640"/>
        <w:ind w:left="-284" w:firstLine="851"/>
        <w:jc w:val="both"/>
        <w:widowControl w:val="off"/>
        <w:rPr>
          <w:rFonts w:ascii="Arial, sans-serif" w:hAnsi="Arial, sans-serif"/>
          <w:sz w:val="28"/>
          <w:szCs w:val="28"/>
        </w:rPr>
      </w:pPr>
      <w:r>
        <w:rPr>
          <w:rFonts w:ascii="Arial, sans-serif" w:hAnsi="Arial, sans-serif"/>
          <w:sz w:val="28"/>
          <w:szCs w:val="28"/>
        </w:rPr>
        <w:t xml:space="preserve">Расчет тарифов на оказание охранных услуг на объектах образования п</w:t>
      </w:r>
      <w:r>
        <w:rPr>
          <w:rFonts w:ascii="Arial, sans-serif" w:hAnsi="Arial, sans-serif"/>
          <w:sz w:val="28"/>
          <w:szCs w:val="28"/>
        </w:rPr>
        <w:t xml:space="preserve">о МРОТ </w:t>
      </w:r>
      <w:r>
        <w:rPr>
          <w:rFonts w:ascii="Arial, sans-serif" w:hAnsi="Arial, sans-serif"/>
          <w:sz w:val="28"/>
          <w:szCs w:val="28"/>
        </w:rPr>
        <w:t xml:space="preserve">(28160 рублей)</w:t>
      </w:r>
      <w:r>
        <w:rPr>
          <w:rFonts w:ascii="Arial, sans-serif" w:hAnsi="Arial, sans-serif"/>
          <w:sz w:val="28"/>
          <w:szCs w:val="28"/>
        </w:rPr>
        <w:t xml:space="preserve"> с 01.01.2026 года.</w:t>
      </w:r>
      <w:r>
        <w:rPr>
          <w:rFonts w:ascii="Arial, sans-serif" w:hAnsi="Arial, sans-serif"/>
          <w:sz w:val="28"/>
          <w:szCs w:val="28"/>
        </w:rPr>
        <w:tab/>
        <w:tab/>
        <w:tab/>
        <w:tab/>
        <w:tab/>
        <w:tab/>
      </w:r>
      <w:r>
        <w:rPr>
          <w:rFonts w:ascii="Arial, sans-serif" w:hAnsi="Arial, sans-serif"/>
          <w:sz w:val="28"/>
          <w:szCs w:val="28"/>
        </w:rPr>
      </w:r>
    </w:p>
    <w:p>
      <w:pPr>
        <w:pStyle w:val="640"/>
        <w:ind w:left="-284" w:firstLine="851"/>
        <w:jc w:val="both"/>
        <w:widowControl w:val="off"/>
        <w:rPr>
          <w:rFonts w:ascii="Arial, sans-serif" w:hAnsi="Arial, sans-serif"/>
          <w:sz w:val="28"/>
          <w:szCs w:val="28"/>
        </w:rPr>
      </w:pPr>
      <w:r>
        <w:rPr>
          <w:rFonts w:ascii="Arial, sans-serif" w:hAnsi="Arial, sans-serif"/>
          <w:sz w:val="28"/>
          <w:szCs w:val="28"/>
        </w:rPr>
        <w:t xml:space="preserve">При расчете МРОТ </w:t>
      </w:r>
      <w:r>
        <w:rPr>
          <w:rFonts w:ascii="Arial, sans-serif" w:hAnsi="Arial, sans-serif"/>
          <w:sz w:val="28"/>
          <w:szCs w:val="28"/>
        </w:rPr>
        <w:t xml:space="preserve"> </w:t>
      </w:r>
      <w:r>
        <w:rPr>
          <w:rFonts w:ascii="Arial, sans-serif" w:hAnsi="Arial, sans-serif"/>
          <w:sz w:val="28"/>
          <w:szCs w:val="28"/>
        </w:rPr>
        <w:t xml:space="preserve">28160 рублей </w:t>
      </w:r>
      <w:r>
        <w:rPr>
          <w:rFonts w:ascii="Arial, sans-serif" w:hAnsi="Arial, sans-serif"/>
          <w:sz w:val="28"/>
          <w:szCs w:val="28"/>
        </w:rPr>
        <w:t xml:space="preserve">стоимость круглосуточного поста составляет </w:t>
      </w:r>
      <w:r>
        <w:rPr>
          <w:rFonts w:ascii="Arial, sans-serif" w:hAnsi="Arial, sans-serif"/>
          <w:sz w:val="28"/>
          <w:szCs w:val="28"/>
        </w:rPr>
        <w:t xml:space="preserve">365 рублей 52 копейки</w:t>
      </w:r>
      <w:r>
        <w:rPr>
          <w:rFonts w:ascii="Arial, sans-serif" w:hAnsi="Arial, sans-serif"/>
          <w:sz w:val="28"/>
          <w:szCs w:val="28"/>
        </w:rPr>
        <w:t xml:space="preserve"> в час или </w:t>
      </w:r>
      <w:r>
        <w:rPr>
          <w:rFonts w:ascii="Arial, sans-serif" w:hAnsi="Arial, sans-serif"/>
          <w:sz w:val="28"/>
          <w:szCs w:val="28"/>
        </w:rPr>
        <w:t xml:space="preserve">299 рублей 61 копейка в час без НДС.</w:t>
        <w:tab/>
        <w:tab/>
        <w:tab/>
      </w:r>
      <w:r>
        <w:rPr>
          <w:rFonts w:ascii="Arial, sans-serif" w:hAnsi="Arial, sans-serif"/>
          <w:sz w:val="28"/>
          <w:szCs w:val="28"/>
        </w:rPr>
      </w:r>
      <w:r>
        <w:rPr>
          <w:rFonts w:ascii="Arial, sans-serif" w:hAnsi="Arial, sans-serif"/>
          <w:sz w:val="28"/>
          <w:szCs w:val="28"/>
        </w:rPr>
      </w:r>
    </w:p>
    <w:p>
      <w:pPr>
        <w:pStyle w:val="640"/>
        <w:ind w:left="-284" w:firstLine="851"/>
        <w:jc w:val="both"/>
        <w:widowControl w:val="off"/>
        <w:rPr>
          <w:rFonts w:ascii="Arial, sans-serif" w:hAnsi="Arial, sans-serif"/>
          <w:sz w:val="28"/>
          <w:szCs w:val="28"/>
        </w:rPr>
      </w:pPr>
      <w:r>
        <w:rPr>
          <w:rFonts w:ascii="Arial, sans-serif" w:hAnsi="Arial, sans-serif"/>
          <w:sz w:val="28"/>
          <w:szCs w:val="28"/>
        </w:rPr>
        <w:t xml:space="preserve">Расчеты пр</w:t>
      </w:r>
      <w:r>
        <w:rPr>
          <w:rFonts w:ascii="Arial, sans-serif" w:hAnsi="Arial, sans-serif"/>
          <w:sz w:val="28"/>
          <w:szCs w:val="28"/>
        </w:rPr>
        <w:t xml:space="preserve">оизведены согласно постановлению</w:t>
      </w:r>
      <w:r>
        <w:rPr>
          <w:rFonts w:ascii="Arial, sans-serif" w:hAnsi="Arial, sans-serif"/>
          <w:sz w:val="28"/>
          <w:szCs w:val="28"/>
        </w:rPr>
        <w:t xml:space="preserve"> Кабинета Министров Республики Татарстан от 23.11.2021</w:t>
      </w:r>
      <w:r>
        <w:rPr>
          <w:rFonts w:ascii="Arial, sans-serif" w:hAnsi="Arial, sans-serif"/>
          <w:sz w:val="28"/>
          <w:szCs w:val="28"/>
        </w:rPr>
        <w:t xml:space="preserve"> года</w:t>
      </w:r>
      <w:r>
        <w:rPr>
          <w:rFonts w:ascii="Arial, sans-serif" w:hAnsi="Arial, sans-serif"/>
          <w:sz w:val="28"/>
          <w:szCs w:val="28"/>
        </w:rPr>
        <w:t xml:space="preserve"> № 1112 «Об утверждении Методических рекомендаций о порядке определ</w:t>
      </w:r>
      <w:r>
        <w:rPr>
          <w:rFonts w:ascii="Arial, sans-serif" w:hAnsi="Arial, sans-serif"/>
          <w:sz w:val="28"/>
          <w:szCs w:val="28"/>
        </w:rPr>
        <w:t xml:space="preserve">ения нормативов стоимости услуг, связанных с обеспечением антитеррористической защищенности объектов (территорий) государственных и муниципальных образовательных организаций Республики Татарстан, при осуществлении их закупок у частных охранных организаций»</w:t>
      </w:r>
      <w:r>
        <w:rPr>
          <w:rFonts w:ascii="Arial, sans-serif" w:hAnsi="Arial, sans-serif"/>
          <w:sz w:val="28"/>
          <w:szCs w:val="28"/>
        </w:rPr>
        <w:t xml:space="preserve">.</w:t>
      </w:r>
      <w:r>
        <w:rPr>
          <w:rFonts w:ascii="Arial, sans-serif" w:hAnsi="Arial, sans-serif"/>
          <w:sz w:val="28"/>
          <w:szCs w:val="28"/>
        </w:rPr>
        <w:tab/>
      </w:r>
      <w:r>
        <w:rPr>
          <w:rFonts w:ascii="Arial, sans-serif" w:hAnsi="Arial, sans-serif"/>
          <w:sz w:val="28"/>
          <w:szCs w:val="28"/>
        </w:rPr>
      </w:r>
    </w:p>
    <w:p>
      <w:pPr>
        <w:pStyle w:val="640"/>
        <w:widowControl w:val="off"/>
        <w:rPr>
          <w:rFonts w:ascii="Arial, sans-serif" w:hAnsi="Arial, sans-serif"/>
          <w:sz w:val="28"/>
          <w:szCs w:val="28"/>
        </w:rPr>
      </w:pPr>
      <w:r>
        <w:rPr>
          <w:rFonts w:ascii="Arial, sans-serif" w:hAnsi="Arial, sans-serif"/>
          <w:sz w:val="28"/>
          <w:szCs w:val="28"/>
        </w:rPr>
      </w:r>
      <w:r>
        <w:rPr>
          <w:rFonts w:ascii="Arial, sans-serif" w:hAnsi="Arial, sans-serif"/>
          <w:sz w:val="28"/>
          <w:szCs w:val="28"/>
        </w:rPr>
      </w:r>
    </w:p>
    <w:tbl>
      <w:tblPr>
        <w:tblW w:w="0" w:type="auto"/>
        <w:tblInd w:w="-276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985"/>
        <w:gridCol w:w="3487"/>
        <w:gridCol w:w="1025"/>
      </w:tblGrid>
      <w:tr>
        <w:tblPrEx/>
        <w:trPr>
          <w:trHeight w:val="62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44" w:type="dxa"/>
            <w:vAlign w:val="bottom"/>
            <w:textDirection w:val="lrTb"/>
            <w:noWrap w:val="false"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БЗП-базовая зарплата в час =МРОТ/СНР (средняя норма часов с росгвардией)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35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28160/164,3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0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171,39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44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Двп-доплата за работу в выходные и праздничные дни (ст153 ТК РФ)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35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0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4,17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44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РО-резерв на отпуск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35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(171,39+4,17)/12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0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14,63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44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СВ-страховые взносы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35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(171,39+4,17+14,63)*30,2%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0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57,44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44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Общая сумма прямых выплат в месяц 12ч пост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35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(171,39+4,17+14,63+57,44)*369,68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0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91543,86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44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Косвенные расходы 25%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35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91543,86*10%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0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9154,38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44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НП (норма прибыли 8,6%)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35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(91543,86+9154,38)*8,6%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0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8660,01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44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ИТОГО стоимость 1 двенадцати часового поста в составе 1 охранника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35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91543,86+9154,38+8660,01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0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109358,25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044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Стоимость 1 часа работы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35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109358,3/365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0" w:type="dxa"/>
            <w:vAlign w:val="bottom"/>
            <w:textDirection w:val="lrTb"/>
            <w:noWrap/>
          </w:tcPr>
          <w:p>
            <w:pPr>
              <w:pStyle w:val="6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299,61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640"/>
        <w:widowControl w:val="off"/>
      </w:pPr>
      <w:r/>
      <w:r/>
    </w:p>
    <w:p>
      <w:pPr>
        <w:pStyle w:val="640"/>
        <w:widowControl w:val="off"/>
      </w:pPr>
      <w:r/>
      <w:r/>
    </w:p>
    <w:p>
      <w:pPr>
        <w:pStyle w:val="640"/>
        <w:widowControl w:val="off"/>
      </w:pPr>
      <w:r/>
      <w:r/>
    </w:p>
    <w:p>
      <w:pPr>
        <w:pStyle w:val="64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</w:r>
    </w:p>
    <w:sectPr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Times New Roman">
    <w:panose1 w:val="02020603050405020304"/>
  </w:font>
  <w:font w:name="Arial, sans-serif">
    <w:panose1 w:val="020B060402020202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7" w:hanging="112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63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11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0"/>
    <w:next w:val="64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0"/>
    <w:next w:val="64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0"/>
    <w:next w:val="64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0"/>
    <w:next w:val="64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0"/>
    <w:next w:val="64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0"/>
    <w:next w:val="64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0"/>
    <w:next w:val="64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0"/>
    <w:next w:val="64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0"/>
    <w:next w:val="64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0"/>
    <w:next w:val="64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0"/>
    <w:next w:val="64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0"/>
    <w:next w:val="64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0"/>
    <w:next w:val="64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0"/>
    <w:next w:val="64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0"/>
    <w:next w:val="64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0"/>
    <w:next w:val="64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0"/>
    <w:next w:val="64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0"/>
    <w:next w:val="64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0"/>
    <w:next w:val="64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0"/>
    <w:next w:val="64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0"/>
    <w:next w:val="64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0"/>
    <w:next w:val="64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0"/>
    <w:next w:val="64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0"/>
    <w:next w:val="640"/>
    <w:uiPriority w:val="99"/>
    <w:unhideWhenUsed/>
    <w:pPr>
      <w:spacing w:after="0" w:afterAutospacing="0"/>
    </w:pPr>
  </w:style>
  <w:style w:type="paragraph" w:styleId="640" w:default="1">
    <w:name w:val="Normal"/>
    <w:next w:val="640"/>
    <w:link w:val="640"/>
    <w:qFormat/>
    <w:rPr>
      <w:sz w:val="24"/>
      <w:szCs w:val="24"/>
      <w:lang w:val="ru-RU" w:eastAsia="ru-RU" w:bidi="ar-SA"/>
    </w:rPr>
  </w:style>
  <w:style w:type="character" w:styleId="641">
    <w:name w:val="Основной шрифт абзаца"/>
    <w:next w:val="641"/>
    <w:link w:val="640"/>
    <w:semiHidden/>
  </w:style>
  <w:style w:type="table" w:styleId="642">
    <w:name w:val="Обычная таблица"/>
    <w:next w:val="642"/>
    <w:link w:val="640"/>
    <w:semiHidden/>
    <w:tblPr/>
  </w:style>
  <w:style w:type="numbering" w:styleId="643">
    <w:name w:val="Нет списка"/>
    <w:next w:val="643"/>
    <w:link w:val="640"/>
    <w:semiHidden/>
  </w:style>
  <w:style w:type="paragraph" w:styleId="644">
    <w:name w:val="Знак"/>
    <w:basedOn w:val="640"/>
    <w:next w:val="644"/>
    <w:link w:val="640"/>
    <w:pPr>
      <w:spacing w:before="100" w:beforeAutospacing="1" w:after="100" w:afterAutospacing="1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645">
    <w:name w:val="Текст выноски"/>
    <w:basedOn w:val="640"/>
    <w:next w:val="645"/>
    <w:link w:val="646"/>
    <w:rPr>
      <w:rFonts w:ascii="Tahoma" w:hAnsi="Tahoma"/>
      <w:sz w:val="16"/>
      <w:szCs w:val="16"/>
      <w:lang w:val="en-US" w:eastAsia="en-US"/>
    </w:rPr>
  </w:style>
  <w:style w:type="character" w:styleId="646">
    <w:name w:val="Текст выноски Знак"/>
    <w:next w:val="646"/>
    <w:link w:val="645"/>
    <w:rPr>
      <w:rFonts w:ascii="Tahoma" w:hAnsi="Tahoma" w:cs="Tahoma"/>
      <w:sz w:val="16"/>
      <w:szCs w:val="16"/>
    </w:rPr>
  </w:style>
  <w:style w:type="character" w:styleId="647">
    <w:name w:val="Гиперссылка"/>
    <w:next w:val="647"/>
    <w:link w:val="640"/>
    <w:uiPriority w:val="99"/>
    <w:rPr>
      <w:color w:val="0000ff"/>
      <w:u w:val="single"/>
    </w:rPr>
  </w:style>
  <w:style w:type="table" w:styleId="648">
    <w:name w:val="Сетка таблицы"/>
    <w:basedOn w:val="642"/>
    <w:next w:val="648"/>
    <w:link w:val="640"/>
    <w:uiPriority w:val="59"/>
    <w:tblPr/>
  </w:style>
  <w:style w:type="paragraph" w:styleId="649">
    <w:name w:val="Абзац списка"/>
    <w:basedOn w:val="640"/>
    <w:next w:val="649"/>
    <w:link w:val="650"/>
    <w:uiPriority w:val="34"/>
    <w:qFormat/>
    <w:pPr>
      <w:contextualSpacing/>
      <w:ind w:left="720" w:firstLine="113"/>
      <w:jc w:val="both"/>
    </w:pPr>
    <w:rPr>
      <w:rFonts w:ascii="Calibri" w:hAnsi="Calibri" w:eastAsia="Calibri"/>
      <w:lang w:val="en-US" w:eastAsia="en-US" w:bidi="en-US"/>
    </w:rPr>
  </w:style>
  <w:style w:type="character" w:styleId="650">
    <w:name w:val="Абзац списка Знак"/>
    <w:next w:val="650"/>
    <w:link w:val="649"/>
    <w:uiPriority w:val="34"/>
    <w:rPr>
      <w:rFonts w:ascii="Calibri" w:hAnsi="Calibri" w:eastAsia="Calibri"/>
      <w:sz w:val="24"/>
      <w:szCs w:val="24"/>
      <w:lang w:val="en-US" w:eastAsia="en-US" w:bidi="en-US"/>
    </w:rPr>
  </w:style>
  <w:style w:type="paragraph" w:styleId="651">
    <w:name w:val="Текст сноски"/>
    <w:basedOn w:val="640"/>
    <w:next w:val="651"/>
    <w:link w:val="652"/>
    <w:unhideWhenUsed/>
    <w:rPr>
      <w:sz w:val="20"/>
      <w:szCs w:val="20"/>
    </w:rPr>
  </w:style>
  <w:style w:type="character" w:styleId="652">
    <w:name w:val="Текст сноски Знак"/>
    <w:basedOn w:val="641"/>
    <w:next w:val="652"/>
    <w:link w:val="651"/>
  </w:style>
  <w:style w:type="character" w:styleId="653">
    <w:name w:val="Знак сноски"/>
    <w:next w:val="653"/>
    <w:link w:val="640"/>
    <w:unhideWhenUsed/>
    <w:rPr>
      <w:vertAlign w:val="superscript"/>
    </w:rPr>
  </w:style>
  <w:style w:type="paragraph" w:styleId="654">
    <w:name w:val="formattext"/>
    <w:basedOn w:val="640"/>
    <w:next w:val="654"/>
    <w:link w:val="640"/>
    <w:pPr>
      <w:spacing w:before="100" w:beforeAutospacing="1" w:after="100" w:afterAutospacing="1"/>
    </w:pPr>
  </w:style>
  <w:style w:type="paragraph" w:styleId="655">
    <w:name w:val="headertext"/>
    <w:basedOn w:val="640"/>
    <w:next w:val="655"/>
    <w:link w:val="640"/>
    <w:pPr>
      <w:spacing w:before="100" w:beforeAutospacing="1" w:after="100" w:afterAutospacing="1"/>
    </w:pPr>
  </w:style>
  <w:style w:type="paragraph" w:styleId="656">
    <w:name w:val="ConsPlusTitle"/>
    <w:next w:val="656"/>
    <w:link w:val="640"/>
    <w:uiPriority w:val="99"/>
    <w:qFormat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57">
    <w:name w:val="ConsPlusNonformat"/>
    <w:next w:val="657"/>
    <w:link w:val="640"/>
    <w:rPr>
      <w:rFonts w:ascii="Courier New" w:hAnsi="Courier New" w:eastAsia="Calibri" w:cs="Courier New"/>
      <w:lang w:val="ru-RU" w:eastAsia="ru-RU" w:bidi="ar-SA"/>
    </w:rPr>
  </w:style>
  <w:style w:type="paragraph" w:styleId="658">
    <w:name w:val=".FORMATTEXT"/>
    <w:next w:val="658"/>
    <w:link w:val="640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1444" w:default="1">
    <w:name w:val="Default Paragraph Font"/>
    <w:uiPriority w:val="1"/>
    <w:semiHidden/>
    <w:unhideWhenUsed/>
  </w:style>
  <w:style w:type="numbering" w:styleId="1445" w:default="1">
    <w:name w:val="No List"/>
    <w:uiPriority w:val="99"/>
    <w:semiHidden/>
    <w:unhideWhenUsed/>
  </w:style>
  <w:style w:type="table" w:styleId="14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внесение изменений в состав административной</dc:title>
  <dc:creator>1</dc:creator>
  <cp:lastModifiedBy>ICL</cp:lastModifiedBy>
  <cp:revision>8</cp:revision>
  <dcterms:created xsi:type="dcterms:W3CDTF">2024-05-13T07:51:00Z</dcterms:created>
  <dcterms:modified xsi:type="dcterms:W3CDTF">2026-01-13T13:04:53Z</dcterms:modified>
  <cp:version>917504</cp:version>
</cp:coreProperties>
</file>