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 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</w:t>
            </w:r>
            <w:r>
              <w:rPr>
                <w:sz w:val="22"/>
                <w:szCs w:val="22"/>
              </w:rPr>
              <w:t xml:space="preserve">Пестрецы</w:t>
            </w:r>
            <w:r>
              <w:rPr>
                <w:sz w:val="22"/>
                <w:szCs w:val="22"/>
              </w:rPr>
              <w:t xml:space="preserve">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 ____________2025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ind w:right="595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7"/>
        <w:ind w:left="360" w:hanging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«Об определении гарантирующей организации </w:t>
      </w:r>
      <w:r>
        <w:rPr>
          <w:b w:val="0"/>
          <w:sz w:val="28"/>
          <w:szCs w:val="28"/>
        </w:rPr>
      </w:r>
    </w:p>
    <w:p>
      <w:pPr>
        <w:pStyle w:val="697"/>
        <w:ind w:left="360" w:hanging="36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по водоснабжению </w:t>
      </w:r>
      <w:r>
        <w:rPr>
          <w:b w:val="0"/>
          <w:sz w:val="28"/>
          <w:szCs w:val="28"/>
        </w:rPr>
        <w:t xml:space="preserve">и зоны ее деятельности</w:t>
      </w:r>
      <w:bookmarkStart w:id="0" w:name="_GoBack"/>
      <w:r/>
      <w:bookmarkEnd w:id="0"/>
      <w:r>
        <w:rPr>
          <w:b w:val="0"/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pStyle w:val="697"/>
        <w:ind w:left="360" w:hanging="360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6, 12 Федерального закона от 07.12.2001г. №416-ФЗ «О водоснабжении и водоотведении» Исполнительный комитет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постановляет:</w:t>
      </w:r>
      <w:r>
        <w:rPr>
          <w:sz w:val="28"/>
          <w:szCs w:val="28"/>
        </w:rPr>
      </w:r>
    </w:p>
    <w:p>
      <w:pPr>
        <w:pStyle w:val="693"/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Наделить статусом гарантирующей организации для централизованной системы холодного водоснабжения на территории д. </w:t>
      </w:r>
      <w:r>
        <w:rPr>
          <w:rFonts w:ascii="Times New Roman" w:hAnsi="Times New Roman" w:cs="Times New Roman"/>
          <w:sz w:val="28"/>
          <w:szCs w:val="28"/>
        </w:rPr>
        <w:t xml:space="preserve">Куюки</w:t>
      </w:r>
      <w:r>
        <w:rPr>
          <w:rFonts w:ascii="Times New Roman" w:hAnsi="Times New Roman" w:cs="Times New Roman"/>
          <w:sz w:val="28"/>
          <w:szCs w:val="28"/>
        </w:rPr>
        <w:t xml:space="preserve"> (по </w:t>
      </w:r>
      <w:r>
        <w:rPr>
          <w:rFonts w:ascii="Times New Roman" w:hAnsi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cs="Times New Roman"/>
          <w:sz w:val="28"/>
          <w:szCs w:val="28"/>
        </w:rPr>
        <w:t xml:space="preserve">.С</w:t>
      </w:r>
      <w:r>
        <w:rPr>
          <w:rFonts w:ascii="Times New Roman" w:hAnsi="Times New Roman" w:cs="Times New Roman"/>
          <w:sz w:val="28"/>
          <w:szCs w:val="28"/>
        </w:rPr>
        <w:t xml:space="preserve">нежная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ул.Вербная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ул.Медовая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ул.Свободы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ул.Майская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ул.Весенняя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ул.Благодатная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ул.Звёздная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ул.Ямьле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ул.Национальная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ул.Кедровая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ул.Тополиная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ул.Айлы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ул.Кояшлы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ул.Соловьиная</w:t>
      </w:r>
      <w:r>
        <w:rPr>
          <w:rFonts w:ascii="Times New Roman" w:hAnsi="Times New Roman" w:cs="Times New Roman"/>
          <w:sz w:val="28"/>
          <w:szCs w:val="28"/>
        </w:rPr>
        <w:t xml:space="preserve"> роща, </w:t>
      </w:r>
      <w:r>
        <w:rPr>
          <w:rFonts w:ascii="Times New Roman" w:hAnsi="Times New Roman" w:cs="Times New Roman"/>
          <w:sz w:val="28"/>
          <w:szCs w:val="28"/>
        </w:rPr>
        <w:t xml:space="preserve">ул.Сосновая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ул.Васильковая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ул.Туганлык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ул.Нур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ул.Шатлык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ул.Яктылык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ул.Дуслык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ул.Надежды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cs="Times New Roman"/>
          <w:sz w:val="28"/>
          <w:szCs w:val="28"/>
        </w:rPr>
        <w:t xml:space="preserve">.А</w:t>
      </w:r>
      <w:r>
        <w:rPr>
          <w:rFonts w:ascii="Times New Roman" w:hAnsi="Times New Roman" w:cs="Times New Roman"/>
          <w:sz w:val="28"/>
          <w:szCs w:val="28"/>
        </w:rPr>
        <w:t xml:space="preserve">манат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ул.Приозёрная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ул.Умырзая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ул.Алан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ул.Карлыгач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ул.Пражская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ул.Ноксинская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ул.Сабыр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ул.Ноксинская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ул.Цветочная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ул.Спасская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ул.Рябиновая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ул.Лазурная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ул.Янтарная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ул.Малая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ул.Согласия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ул.Алтын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ул.Изумрудная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ул.Рубиновая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ул.Ханская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ул.Жемчужная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ул.Радужная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ул.Хрустальная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ул.Кленовая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ул.Булатная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ул.Тыныч</w:t>
      </w:r>
      <w:r>
        <w:rPr>
          <w:rFonts w:ascii="Times New Roman" w:hAnsi="Times New Roman" w:cs="Times New Roman"/>
          <w:sz w:val="28"/>
          <w:szCs w:val="28"/>
        </w:rPr>
        <w:t xml:space="preserve"> )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Татарстан МУП города Казани «Водоканал»</w:t>
      </w:r>
      <w:r>
        <w:rPr>
          <w:rFonts w:ascii="Times New Roman" w:hAnsi="Times New Roman" w:cs="Times New Roman"/>
          <w:sz w:val="28"/>
          <w:szCs w:val="28"/>
        </w:rPr>
        <w:t xml:space="preserve"> (ИНН: 1653006666).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(www.pestreci.tatarstan.ru).   </w:t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Р.Р. </w:t>
      </w:r>
      <w:r>
        <w:rPr>
          <w:rFonts w:ascii="Times New Roman" w:hAnsi="Times New Roman"/>
          <w:sz w:val="28"/>
          <w:szCs w:val="28"/>
        </w:rPr>
        <w:t xml:space="preserve">Шайхутдинова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И.Р. </w:t>
      </w:r>
      <w:r>
        <w:rPr>
          <w:rFonts w:ascii="Times New Roman" w:hAnsi="Times New Roman"/>
          <w:sz w:val="28"/>
          <w:szCs w:val="28"/>
        </w:rPr>
        <w:t xml:space="preserve">Давлетханов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42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27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1"/>
    <w:link w:val="695"/>
    <w:uiPriority w:val="10"/>
    <w:rPr>
      <w:sz w:val="48"/>
      <w:szCs w:val="48"/>
    </w:rPr>
  </w:style>
  <w:style w:type="character" w:styleId="39">
    <w:name w:val="Quote Char"/>
    <w:link w:val="699"/>
    <w:uiPriority w:val="29"/>
    <w:rPr>
      <w:i/>
    </w:rPr>
  </w:style>
  <w:style w:type="character" w:styleId="41">
    <w:name w:val="Intense Quote Char"/>
    <w:link w:val="701"/>
    <w:uiPriority w:val="30"/>
    <w:rPr>
      <w:i/>
    </w:rPr>
  </w:style>
  <w:style w:type="character" w:styleId="43">
    <w:name w:val="Header Char"/>
    <w:basedOn w:val="681"/>
    <w:link w:val="703"/>
    <w:uiPriority w:val="99"/>
  </w:style>
  <w:style w:type="character" w:styleId="45">
    <w:name w:val="Footer Char"/>
    <w:basedOn w:val="681"/>
    <w:link w:val="705"/>
    <w:uiPriority w:val="99"/>
  </w:style>
  <w:style w:type="character" w:styleId="47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6"/>
    <w:uiPriority w:val="99"/>
    <w:rPr>
      <w:sz w:val="18"/>
    </w:rPr>
  </w:style>
  <w:style w:type="paragraph" w:styleId="671" w:default="1">
    <w:name w:val="Normal"/>
    <w:qFormat/>
    <w:rPr>
      <w:sz w:val="24"/>
      <w:szCs w:val="24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694">
    <w:name w:val="No Spacing"/>
    <w:uiPriority w:val="1"/>
    <w:qFormat/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link w:val="695"/>
    <w:uiPriority w:val="10"/>
    <w:rPr>
      <w:sz w:val="48"/>
      <w:szCs w:val="48"/>
    </w:rPr>
  </w:style>
  <w:style w:type="paragraph" w:styleId="697">
    <w:name w:val="Subtitle"/>
    <w:basedOn w:val="671"/>
    <w:link w:val="860"/>
    <w:uiPriority w:val="11"/>
    <w:qFormat/>
    <w:pPr>
      <w:jc w:val="center"/>
    </w:pPr>
    <w:rPr>
      <w:b/>
      <w:sz w:val="26"/>
      <w:szCs w:val="20"/>
    </w:rPr>
  </w:style>
  <w:style w:type="character" w:styleId="698" w:customStyle="1">
    <w:name w:val="Subtitle Char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71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link w:val="705"/>
    <w:uiPriority w:val="99"/>
  </w:style>
  <w:style w:type="paragraph" w:styleId="707">
    <w:name w:val="Caption"/>
    <w:basedOn w:val="671"/>
    <w:next w:val="671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rPr>
      <w:color w:val="0000ff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1"/>
    <w:link w:val="856"/>
    <w:rPr>
      <w:sz w:val="20"/>
      <w:szCs w:val="20"/>
    </w:rPr>
  </w:style>
  <w:style w:type="character" w:styleId="840" w:customStyle="1">
    <w:name w:val="Endnote Text Char"/>
    <w:uiPriority w:val="99"/>
    <w:rPr>
      <w:sz w:val="20"/>
    </w:rPr>
  </w:style>
  <w:style w:type="character" w:styleId="841">
    <w:name w:val="endnote reference"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 w:customStyle="1">
    <w:name w:val="Знак"/>
    <w:basedOn w:val="671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854">
    <w:name w:val="Balloon Text"/>
    <w:basedOn w:val="671"/>
    <w:link w:val="855"/>
    <w:rPr>
      <w:rFonts w:ascii="Tahoma" w:hAnsi="Tahoma"/>
      <w:sz w:val="16"/>
      <w:szCs w:val="16"/>
      <w:lang w:val="en-US" w:eastAsia="en-US"/>
    </w:rPr>
  </w:style>
  <w:style w:type="character" w:styleId="855" w:customStyle="1">
    <w:name w:val="Текст выноски Знак"/>
    <w:link w:val="854"/>
    <w:rPr>
      <w:rFonts w:ascii="Tahoma" w:hAnsi="Tahoma" w:cs="Tahoma"/>
      <w:sz w:val="16"/>
      <w:szCs w:val="16"/>
    </w:rPr>
  </w:style>
  <w:style w:type="character" w:styleId="856" w:customStyle="1">
    <w:name w:val="Текст концевой сноски Знак"/>
    <w:basedOn w:val="681"/>
    <w:link w:val="839"/>
  </w:style>
  <w:style w:type="paragraph" w:styleId="857">
    <w:name w:val="Normal (Web)"/>
    <w:basedOn w:val="671"/>
    <w:unhideWhenUsed/>
    <w:pPr>
      <w:spacing w:before="100" w:beforeAutospacing="1" w:after="100" w:afterAutospacing="1"/>
    </w:pPr>
    <w:rPr>
      <w:rFonts w:eastAsia="Calibri"/>
    </w:rPr>
  </w:style>
  <w:style w:type="paragraph" w:styleId="858" w:customStyle="1">
    <w:name w:val=".FORMATTEXT"/>
    <w:uiPriority w:val="99"/>
    <w:pPr>
      <w:widowControl w:val="off"/>
    </w:pPr>
    <w:rPr>
      <w:rFonts w:ascii="Arial" w:hAnsi="Arial" w:cs="Arial"/>
      <w:lang w:eastAsia="ru-RU"/>
    </w:rPr>
  </w:style>
  <w:style w:type="paragraph" w:styleId="859" w:customStyle="1">
    <w:name w:val=".HEADERTEXT"/>
    <w:uiPriority w:val="99"/>
    <w:pPr>
      <w:widowControl w:val="off"/>
    </w:pPr>
    <w:rPr>
      <w:rFonts w:ascii="Arial" w:hAnsi="Arial" w:cs="Arial"/>
      <w:color w:val="2b4279"/>
      <w:lang w:eastAsia="ru-RU"/>
    </w:rPr>
  </w:style>
  <w:style w:type="character" w:styleId="860" w:customStyle="1">
    <w:name w:val="Подзаголовок Знак"/>
    <w:link w:val="697"/>
    <w:uiPriority w:val="11"/>
    <w:rPr>
      <w:b/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3</cp:revision>
  <dcterms:created xsi:type="dcterms:W3CDTF">2025-12-29T12:34:00Z</dcterms:created>
  <dcterms:modified xsi:type="dcterms:W3CDTF">2026-01-13T13:01:30Z</dcterms:modified>
  <cp:version>917504</cp:version>
</cp:coreProperties>
</file>