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8841" w:leader="none"/>
        </w:tabs>
      </w:pPr>
      <w:r>
        <w:tab/>
        <w:t xml:space="preserve"> </w:t>
      </w:r>
      <w:r/>
    </w:p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 Республика Татарстан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</w:r>
            <w:r>
              <w:rPr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eastAsia="SimSu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авылы, Совет урамы,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</w:r>
            <w:r>
              <w:rPr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jc w:val="center"/>
        <w:rPr>
          <w:b/>
          <w:sz w:val="32"/>
          <w:szCs w:val="32"/>
          <w:lang w:val="en-US" w:eastAsia="zh-CN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  <w:lang w:val="en-US" w:eastAsia="zh-CN"/>
        </w:rPr>
      </w:r>
    </w:p>
    <w:p>
      <w:pPr>
        <w:ind w:left="-360"/>
        <w:jc w:val="center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 ____________2025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Пестрецы</w:t>
      </w:r>
      <w:r>
        <w:rPr>
          <w:sz w:val="28"/>
          <w:szCs w:val="28"/>
        </w:rPr>
      </w:r>
    </w:p>
    <w:p>
      <w:pPr>
        <w:ind w:left="-360"/>
        <w:jc w:val="center"/>
        <w:rPr>
          <w:sz w:val="28"/>
          <w:szCs w:val="28"/>
        </w:rPr>
      </w:pPr>
      <w:r/>
      <w:bookmarkStart w:id="0" w:name="_GoBack"/>
      <w:r/>
      <w:bookmarkEnd w:id="0"/>
      <w:r/>
      <w:r>
        <w:rPr>
          <w:sz w:val="28"/>
          <w:szCs w:val="28"/>
        </w:rPr>
      </w:r>
    </w:p>
    <w:p>
      <w:pPr>
        <w:ind w:right="595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</w:t>
      </w:r>
      <w:r>
        <w:rPr>
          <w:sz w:val="28"/>
          <w:szCs w:val="28"/>
        </w:rPr>
        <w:t xml:space="preserve">вление Исполнительного комитета Пестречинского муниципального района Республики Татарстан от 30.12.2025 года № 998-п «Об определении гарантирующей организации по водоснабжению и зоны ее деятельности»</w:t>
      </w:r>
      <w:r>
        <w:rPr>
          <w:sz w:val="28"/>
          <w:szCs w:val="28"/>
        </w:rPr>
      </w:r>
    </w:p>
    <w:p>
      <w:pPr>
        <w:pStyle w:val="859"/>
        <w:rPr>
          <w:rFonts w:ascii="Times New Roman" w:hAnsi="Times New Roman" w:cs="Times New Roman"/>
          <w:b/>
          <w:bCs/>
          <w:color w:val="000000"/>
          <w:sz w:val="28"/>
          <w:szCs w:val="28"/>
        </w:rPr>
        <w:outlineLvl w:val="2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6, 12 Федерального закона о</w:t>
      </w:r>
      <w:r>
        <w:rPr>
          <w:rFonts w:ascii="Times New Roman" w:hAnsi="Times New Roman" w:cs="Times New Roman"/>
          <w:sz w:val="28"/>
          <w:szCs w:val="28"/>
        </w:rPr>
        <w:t xml:space="preserve">т 07.12.2011 года          № 416-ФЗ «О водоснабжении и водоотведении», Исполнительный комитет Пестречинского муниципального района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Пестречинского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от 30.12.2025 года </w:t>
      </w:r>
      <w:r>
        <w:rPr>
          <w:rFonts w:ascii="Times New Roman" w:hAnsi="Times New Roman" w:cs="Times New Roman"/>
          <w:sz w:val="28"/>
          <w:szCs w:val="28"/>
        </w:rPr>
        <w:t xml:space="preserve">№ 998-п «Об определении гарантирующей организации по водоснабжению и зоны ее деятельности»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1. Наделить статусом гарантирующей организации для централизованной системы холодного водоснабжения на территории д. Куюки (по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Снежная,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Вербная,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Медовая,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Свободы,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Майская,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Весенняя,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Благодатная,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Звёздная,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Ямьле,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Национальная</w:t>
      </w:r>
      <w:r>
        <w:rPr>
          <w:rFonts w:ascii="Times New Roman" w:hAnsi="Times New Roman" w:cs="Times New Roman"/>
          <w:sz w:val="28"/>
          <w:szCs w:val="28"/>
        </w:rPr>
        <w:t xml:space="preserve"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Кедровая,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Тополиная,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Айлы,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Кояшлы,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Соловьиная роща,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Сосновая,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Васильковая,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Туганлык,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Нур,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Шатлык,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Яктылык,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Дуслык,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Надежды,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Аманат,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Приозёрная, ул.</w:t>
      </w:r>
      <w:r>
        <w:rPr>
          <w:rFonts w:ascii="Times New Roman" w:hAnsi="Times New Roman" w:cs="Times New Roman"/>
          <w:sz w:val="28"/>
          <w:szCs w:val="28"/>
        </w:rPr>
        <w:t xml:space="preserve"> Умырзая, ул. </w:t>
      </w:r>
      <w:r>
        <w:rPr>
          <w:rFonts w:ascii="Times New Roman" w:hAnsi="Times New Roman" w:cs="Times New Roman"/>
          <w:sz w:val="28"/>
          <w:szCs w:val="28"/>
        </w:rPr>
        <w:t xml:space="preserve">Алан,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Карлыгач,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Пражская,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Ноксинская, ул.</w:t>
      </w:r>
      <w:r>
        <w:rPr>
          <w:rFonts w:ascii="Times New Roman" w:hAnsi="Times New Roman" w:cs="Times New Roman"/>
          <w:sz w:val="28"/>
          <w:szCs w:val="28"/>
        </w:rPr>
        <w:t xml:space="preserve"> Сабыр, ул. Ноксинская, ул. Цветочная, ул. Спасская, ул. Рябиновая, ул. Лазурная, ул.Янтарная,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Согласия,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Алтын, ул. Изумрудная,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Рубиновая,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Ханская,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Жемчужная,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Радужная, ул. Хрустальная, ул. Кленовая,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ул. Булатная,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Тыныч, ул. </w:t>
      </w:r>
      <w:r>
        <w:rPr>
          <w:rFonts w:ascii="Times New Roman" w:hAnsi="Times New Roman" w:cs="Times New Roman"/>
          <w:sz w:val="28"/>
          <w:szCs w:val="28"/>
        </w:rPr>
        <w:t xml:space="preserve">Березовая, </w:t>
      </w:r>
      <w:r>
        <w:rPr>
          <w:rFonts w:ascii="Times New Roman" w:hAnsi="Times New Roman" w:cs="Times New Roman"/>
          <w:sz w:val="28"/>
          <w:szCs w:val="28"/>
        </w:rPr>
        <w:t xml:space="preserve">ул. Невская, ул. Садовая) Пестречинского муниципального района Республики Татарстан МУП города Казани «Водоканал» (ИНН: 1653006666).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8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Официально о</w:t>
      </w:r>
      <w:r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 xml:space="preserve"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на официальном портале правовой информации Республики Татарстан (www.pravo.tatarstan.ru) и на </w:t>
      </w:r>
      <w:r>
        <w:rPr>
          <w:rFonts w:ascii="Times New Roman" w:hAnsi="Times New Roman"/>
          <w:sz w:val="28"/>
          <w:szCs w:val="28"/>
        </w:rPr>
        <w:t xml:space="preserve">официальном сайте Пестречинского муниципального района (www.pestreci.tatarstan.ru).   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</w:t>
      </w:r>
      <w:r>
        <w:rPr>
          <w:rFonts w:ascii="Times New Roman" w:hAnsi="Times New Roman"/>
          <w:sz w:val="28"/>
          <w:szCs w:val="28"/>
        </w:rPr>
        <w:t xml:space="preserve">ь на заместителя руководителя Исполнительного комитета Пестречинского муниципального района Р.Р. Шайхутдинова.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опубликования (обнародования).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tabs>
          <w:tab w:val="left" w:pos="467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И.Р. Давлетханов</w:t>
      </w:r>
      <w:r>
        <w:rPr>
          <w:rFonts w:ascii="Times New Roman" w:hAnsi="Times New Roman"/>
          <w:sz w:val="28"/>
          <w:szCs w:val="28"/>
        </w:rPr>
      </w:r>
    </w:p>
    <w:p>
      <w:pPr>
        <w:pStyle w:val="85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42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imSun">
    <w:panose1 w:val="02010600030101010101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27" w:hanging="9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7" w:hanging="1128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1"/>
    <w:link w:val="695"/>
    <w:uiPriority w:val="10"/>
    <w:rPr>
      <w:sz w:val="48"/>
      <w:szCs w:val="48"/>
    </w:rPr>
  </w:style>
  <w:style w:type="character" w:styleId="37">
    <w:name w:val="Subtitle Char"/>
    <w:basedOn w:val="681"/>
    <w:link w:val="697"/>
    <w:uiPriority w:val="11"/>
    <w:rPr>
      <w:sz w:val="24"/>
      <w:szCs w:val="24"/>
    </w:rPr>
  </w:style>
  <w:style w:type="character" w:styleId="39">
    <w:name w:val="Quote Char"/>
    <w:link w:val="699"/>
    <w:uiPriority w:val="29"/>
    <w:rPr>
      <w:i/>
    </w:rPr>
  </w:style>
  <w:style w:type="character" w:styleId="41">
    <w:name w:val="Intense Quote Char"/>
    <w:link w:val="701"/>
    <w:uiPriority w:val="30"/>
    <w:rPr>
      <w:i/>
    </w:rPr>
  </w:style>
  <w:style w:type="character" w:styleId="43">
    <w:name w:val="Header Char"/>
    <w:basedOn w:val="681"/>
    <w:link w:val="703"/>
    <w:uiPriority w:val="99"/>
  </w:style>
  <w:style w:type="character" w:styleId="45">
    <w:name w:val="Footer Char"/>
    <w:basedOn w:val="681"/>
    <w:link w:val="705"/>
    <w:uiPriority w:val="99"/>
  </w:style>
  <w:style w:type="character" w:styleId="47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36"/>
    <w:uiPriority w:val="99"/>
    <w:rPr>
      <w:sz w:val="18"/>
    </w:rPr>
  </w:style>
  <w:style w:type="paragraph" w:styleId="671" w:default="1">
    <w:name w:val="Normal"/>
    <w:qFormat/>
    <w:rPr>
      <w:sz w:val="24"/>
      <w:szCs w:val="24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rPr>
      <w:lang w:eastAsia="zh-CN"/>
    </w:r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1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link w:val="705"/>
    <w:uiPriority w:val="99"/>
  </w:style>
  <w:style w:type="paragraph" w:styleId="707">
    <w:name w:val="Caption"/>
    <w:basedOn w:val="671"/>
    <w:next w:val="671"/>
    <w:link w:val="70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8" w:customStyle="1">
    <w:name w:val="Название объекта Знак"/>
    <w:link w:val="707"/>
    <w:uiPriority w:val="35"/>
    <w:rPr>
      <w:b/>
      <w:bCs/>
      <w:color w:val="4f81bd"/>
      <w:sz w:val="18"/>
      <w:szCs w:val="18"/>
    </w:rPr>
  </w:style>
  <w:style w:type="table" w:styleId="709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5">
    <w:name w:val="Hyperlink"/>
    <w:uiPriority w:val="99"/>
    <w:rPr>
      <w:color w:val="0000ff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1"/>
    <w:link w:val="856"/>
    <w:rPr>
      <w:sz w:val="20"/>
      <w:szCs w:val="20"/>
    </w:rPr>
  </w:style>
  <w:style w:type="character" w:styleId="840" w:customStyle="1">
    <w:name w:val="Endnote Text Char"/>
    <w:uiPriority w:val="99"/>
    <w:rPr>
      <w:sz w:val="20"/>
    </w:rPr>
  </w:style>
  <w:style w:type="character" w:styleId="841">
    <w:name w:val="endnote reference"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  <w:rPr>
      <w:lang w:eastAsia="zh-CN"/>
    </w:rPr>
  </w:style>
  <w:style w:type="paragraph" w:styleId="852">
    <w:name w:val="table of figures"/>
    <w:basedOn w:val="671"/>
    <w:next w:val="671"/>
    <w:uiPriority w:val="99"/>
    <w:unhideWhenUsed/>
  </w:style>
  <w:style w:type="paragraph" w:styleId="853" w:customStyle="1">
    <w:name w:val="Знак"/>
    <w:basedOn w:val="671"/>
    <w:pPr>
      <w:spacing w:before="100" w:beforeAutospacing="1" w:after="100" w:afterAutospacing="1"/>
      <w:widowControl w:val="off"/>
    </w:pPr>
    <w:rPr>
      <w:rFonts w:ascii="Tahoma" w:hAnsi="Tahoma"/>
      <w:sz w:val="20"/>
      <w:szCs w:val="20"/>
      <w:lang w:val="en-US" w:eastAsia="en-US"/>
    </w:rPr>
  </w:style>
  <w:style w:type="paragraph" w:styleId="854">
    <w:name w:val="Balloon Text"/>
    <w:basedOn w:val="671"/>
    <w:link w:val="855"/>
    <w:rPr>
      <w:rFonts w:ascii="Tahoma" w:hAnsi="Tahoma"/>
      <w:sz w:val="16"/>
      <w:szCs w:val="16"/>
      <w:lang w:val="en-US" w:eastAsia="en-US"/>
    </w:rPr>
  </w:style>
  <w:style w:type="character" w:styleId="855" w:customStyle="1">
    <w:name w:val="Текст выноски Знак"/>
    <w:link w:val="854"/>
    <w:rPr>
      <w:rFonts w:ascii="Tahoma" w:hAnsi="Tahoma" w:cs="Tahoma"/>
      <w:sz w:val="16"/>
      <w:szCs w:val="16"/>
    </w:rPr>
  </w:style>
  <w:style w:type="character" w:styleId="856" w:customStyle="1">
    <w:name w:val="Текст концевой сноски Знак"/>
    <w:basedOn w:val="681"/>
    <w:link w:val="839"/>
  </w:style>
  <w:style w:type="paragraph" w:styleId="857">
    <w:name w:val="Normal (Web)"/>
    <w:basedOn w:val="671"/>
    <w:unhideWhenUsed/>
    <w:pPr>
      <w:spacing w:before="100" w:beforeAutospacing="1" w:after="100" w:afterAutospacing="1"/>
    </w:pPr>
    <w:rPr>
      <w:rFonts w:eastAsia="Calibri"/>
    </w:rPr>
  </w:style>
  <w:style w:type="paragraph" w:styleId="858" w:customStyle="1">
    <w:name w:val=".FORMATTEXT"/>
    <w:uiPriority w:val="99"/>
    <w:pPr>
      <w:widowControl w:val="off"/>
    </w:pPr>
    <w:rPr>
      <w:rFonts w:ascii="Arial" w:hAnsi="Arial" w:cs="Arial"/>
    </w:rPr>
  </w:style>
  <w:style w:type="paragraph" w:styleId="859" w:customStyle="1">
    <w:name w:val=".HEADERTEXT"/>
    <w:uiPriority w:val="99"/>
    <w:pPr>
      <w:widowControl w:val="off"/>
    </w:pPr>
    <w:rPr>
      <w:rFonts w:ascii="Arial" w:hAnsi="Arial" w:cs="Arial"/>
      <w:color w:val="2b427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внесение изменений в состав административной</dc:title>
  <dc:creator>1</dc:creator>
  <cp:lastModifiedBy>ICL</cp:lastModifiedBy>
  <cp:revision>8</cp:revision>
  <dcterms:created xsi:type="dcterms:W3CDTF">2025-03-05T05:54:00Z</dcterms:created>
  <dcterms:modified xsi:type="dcterms:W3CDTF">2026-03-05T08:46:15Z</dcterms:modified>
  <cp:version>917504</cp:version>
</cp:coreProperties>
</file>