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Восьмое заседание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Богородского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Совета Богородского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____________ 2026 года                                                                                     № 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8 декабря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бюджете Богородского сельского поселения Пестречинского муниципального района Республики Татарстан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Богородского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Богородского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8 декабря 2025 года № 12 «</w:t>
      </w:r>
      <w:r>
        <w:rPr>
          <w:rFonts w:ascii="Times New Roman" w:hAnsi="Times New Roman" w:cs="Times New Roman"/>
          <w:sz w:val="28"/>
          <w:szCs w:val="28"/>
        </w:rPr>
        <w:t xml:space="preserve">О бюджете Богородского сельского поселения Пестречинского муниципального района Республики Татарстан на 2026 год и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 в 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79499,1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«</w:t>
      </w:r>
      <w:r>
        <w:rPr>
          <w:rFonts w:ascii="Times New Roman" w:hAnsi="Times New Roman" w:cs="Times New Roman"/>
          <w:sz w:val="28"/>
          <w:szCs w:val="28"/>
        </w:rPr>
        <w:t xml:space="preserve">80747,7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 в абзаце втором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79499,1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115877,4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Богородского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равен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0,0 тыс. рублей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35129,7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таблицу 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Совета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Богородского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755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297"/>
        <w:gridCol w:w="1682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35129,7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35129,7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80747,7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80747,7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80747,7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36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80747,7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115877,4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115877,4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115877,4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68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115877,4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2 к решению Совета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Богородского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8 декабря 2025 года № 12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</w:t>
      </w:r>
      <w:r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Богородского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4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62"/>
        <w:gridCol w:w="3722"/>
        <w:gridCol w:w="2061"/>
      </w:tblGrid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77810,8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6773,8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6773,8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71037,0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17217,0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53820,0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автономных учреждений)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1 11 05025 10 0000 120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2936,9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 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1248,6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72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80747,7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приложении №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1 из</w:t>
      </w:r>
      <w:r>
        <w:rPr>
          <w:rFonts w:ascii="Times New Roman" w:hAnsi="Times New Roman" w:cs="Times New Roman"/>
          <w:sz w:val="28"/>
          <w:szCs w:val="28"/>
        </w:rPr>
        <w:t xml:space="preserve">ложить в следующей редакци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3 к решению Совета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Богородского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8 декабря 2025 года № 12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center"/>
        <w:tabs>
          <w:tab w:val="left" w:pos="8151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5670" w:firstLine="0"/>
        <w:jc w:val="right"/>
        <w:tabs>
          <w:tab w:val="left" w:pos="8151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tabs>
          <w:tab w:val="left" w:pos="8151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 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Богородского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Пестречинского муниципального района Республики Татарстан на 2026 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55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20"/>
        <w:gridCol w:w="745"/>
        <w:gridCol w:w="540"/>
        <w:gridCol w:w="540"/>
        <w:gridCol w:w="1933"/>
        <w:gridCol w:w="992"/>
        <w:gridCol w:w="1397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Богородс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1285,2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Богородского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114592,2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19590,0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13047,8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13047,8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45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39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115877,4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4 к решению Совета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Богородского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8 декабря 2025 года № 12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бюджета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Богородского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разделам и подразделам, целевым статьям и группам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видов расходов класси</w:t>
      </w:r>
      <w:r>
        <w:rPr>
          <w:rFonts w:ascii="Times New Roman" w:hAnsi="Times New Roman" w:cs="Times New Roman"/>
          <w:bCs/>
          <w:sz w:val="28"/>
          <w:szCs w:val="28"/>
        </w:rPr>
        <w:t xml:space="preserve">фикации 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55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674"/>
        <w:gridCol w:w="540"/>
        <w:gridCol w:w="540"/>
        <w:gridCol w:w="1933"/>
        <w:gridCol w:w="992"/>
        <w:gridCol w:w="178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Богородс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1285,2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19590,0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13047,8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13047,8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6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8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115877,4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 5 к решению Совета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Богородского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eastAsia="Calibri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от 8 декабря 2025 года № 12    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 статьям (муниципальным программам Бо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городского сельского поселения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Богородского сельского поселения 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</w:t>
      </w:r>
      <w:r>
        <w:rPr>
          <w:rFonts w:ascii="Times New Roman" w:hAnsi="Times New Roman" w:eastAsia="Calibri" w:cs="Times New Roman"/>
          <w:sz w:val="28"/>
          <w:szCs w:val="28"/>
        </w:rPr>
        <w:t xml:space="preserve">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55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816"/>
        <w:gridCol w:w="1933"/>
        <w:gridCol w:w="992"/>
        <w:gridCol w:w="2726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Богородс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кого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1285,2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</w:pPr>
            <w:r/>
            <w:r/>
          </w:p>
          <w:p>
            <w:pPr>
              <w:ind w:firstLine="0"/>
              <w:jc w:val="center"/>
            </w:pPr>
            <w:r/>
            <w:r/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1285,2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3006,3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2797,4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2535,7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воинского учета на территориях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1294,4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1199,4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19590,0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19590,0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16775,3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13047,8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13047,8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9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66442,1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9900025800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7065,0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81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2726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115877,4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Опубликовать (обнародовать) настоящее решение на официальном портале правовой информации Республики Татарстан  (www.pravo.tatarstan.ru)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Богородского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    Д.Ю. Булыгин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/>
      <w:bookmarkStart w:id="1" w:name="_GoBack"/>
      <w:r/>
      <w:bookmarkEnd w:id="1"/>
      <w:r/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851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7EB4-8FE1-4A1D-8A9B-3F432A85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21</cp:revision>
  <dcterms:created xsi:type="dcterms:W3CDTF">2026-05-08T06:10:00Z</dcterms:created>
  <dcterms:modified xsi:type="dcterms:W3CDTF">2026-05-18T08:35:30Z</dcterms:modified>
</cp:coreProperties>
</file>