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Седьмое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Отар-Дубровка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Отар-Дубровского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Отар-Дубровского сельского поселения от 10 декабря 2025 года № 11 «О бюджете Отар-Дубровского сельского поселения Пестречинского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2334,3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«2953</w:t>
      </w:r>
      <w:r>
        <w:rPr>
          <w:rFonts w:ascii="Times New Roman" w:hAnsi="Times New Roman" w:cs="Times New Roman"/>
          <w:sz w:val="28"/>
          <w:szCs w:val="28"/>
        </w:rPr>
        <w:t xml:space="preserve">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2334,3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«3191</w:t>
      </w:r>
      <w:r>
        <w:rPr>
          <w:rFonts w:ascii="Times New Roman" w:hAnsi="Times New Roman" w:cs="Times New Roman"/>
          <w:sz w:val="28"/>
          <w:szCs w:val="28"/>
        </w:rPr>
        <w:t xml:space="preserve">,2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238,2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Отар-Дубровского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райо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44"/>
        <w:gridCol w:w="6620"/>
        <w:gridCol w:w="1129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238,2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Отар-Дубровского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63"/>
        <w:gridCol w:w="2693"/>
        <w:gridCol w:w="133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554,0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2239,0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618,7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2953,0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6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Отар-Дубровского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 се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льского поселения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21"/>
        <w:gridCol w:w="721"/>
        <w:gridCol w:w="567"/>
        <w:gridCol w:w="1535"/>
        <w:gridCol w:w="626"/>
        <w:gridCol w:w="935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301,9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1011,9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160.0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Отар-Дубровского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</w:t>
      </w:r>
      <w:r>
        <w:rPr>
          <w:rFonts w:ascii="Times New Roman" w:hAnsi="Times New Roman" w:cs="Times New Roman"/>
          <w:bCs/>
          <w:sz w:val="28"/>
          <w:szCs w:val="28"/>
        </w:rPr>
        <w:t xml:space="preserve">жетных ассигнований по разделам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подразделам, целевым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статьям, группам видов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Отар-Дубровского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721"/>
        <w:gridCol w:w="567"/>
        <w:gridCol w:w="1535"/>
        <w:gridCol w:w="626"/>
        <w:gridCol w:w="1089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301,9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1011,9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160.0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Отар-Дубровского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535"/>
        <w:gridCol w:w="626"/>
        <w:gridCol w:w="1102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Отар-Дубровского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301,9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1011,9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160.0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3191,2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Ф.Г.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Каримуллин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0DDC-8270-428A-A6C0-926B9E98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dcterms:created xsi:type="dcterms:W3CDTF">2026-05-12T07:25:00Z</dcterms:created>
  <dcterms:modified xsi:type="dcterms:W3CDTF">2026-05-18T08:43:42Z</dcterms:modified>
</cp:coreProperties>
</file>