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 xml:space="preserve">Пимери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Пимер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 декабря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 года № 11 «О бюджете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2248,1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3021</w:t>
      </w:r>
      <w:r>
        <w:rPr>
          <w:rFonts w:ascii="Times New Roman" w:hAnsi="Times New Roman" w:cs="Times New Roman"/>
          <w:sz w:val="28"/>
          <w:szCs w:val="28"/>
        </w:rPr>
        <w:t xml:space="preserve">,4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2248,1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3441</w:t>
      </w:r>
      <w:r>
        <w:rPr>
          <w:rFonts w:ascii="Times New Roman" w:hAnsi="Times New Roman" w:cs="Times New Roman"/>
          <w:sz w:val="28"/>
          <w:szCs w:val="28"/>
        </w:rPr>
        <w:t xml:space="preserve">,5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декабря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576" w:type="dxa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29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420,1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47"/>
        <w:gridCol w:w="2722"/>
        <w:gridCol w:w="964"/>
      </w:tblGrid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401,0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2596,5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3021,4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ассигнований по</w:t>
      </w:r>
      <w:r>
        <w:rPr>
          <w:rFonts w:ascii="Times New Roman" w:hAnsi="Times New Roman" w:cs="Times New Roman"/>
          <w:sz w:val="28"/>
          <w:szCs w:val="28"/>
        </w:rPr>
        <w:t xml:space="preserve"> ведомственной структуре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бюджета на 2026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right"/>
        <w:spacing w:after="12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80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416"/>
        <w:gridCol w:w="993"/>
        <w:gridCol w:w="567"/>
        <w:gridCol w:w="567"/>
        <w:gridCol w:w="1559"/>
        <w:gridCol w:w="709"/>
        <w:gridCol w:w="992"/>
      </w:tblGrid>
      <w:tr>
        <w:tblPrEx/>
        <w:trPr>
          <w:cantSplit/>
          <w:trHeight w:val="336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41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41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41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2572,3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938,7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41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541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218,0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34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tabs>
                <w:tab w:val="left" w:pos="296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1304,4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41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3441,5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 и подразделам, целевым статьям и группам </w:t>
      </w:r>
      <w:r>
        <w:rPr>
          <w:rFonts w:ascii="Times New Roman" w:hAnsi="Times New Roman" w:cs="Times New Roman"/>
          <w:sz w:val="28"/>
          <w:szCs w:val="28"/>
        </w:rPr>
        <w:t xml:space="preserve">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класси</w:t>
      </w:r>
      <w:r>
        <w:rPr>
          <w:rFonts w:ascii="Times New Roman" w:hAnsi="Times New Roman" w:cs="Times New Roman"/>
          <w:sz w:val="28"/>
          <w:szCs w:val="28"/>
        </w:rPr>
        <w:t xml:space="preserve">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567"/>
        <w:gridCol w:w="567"/>
        <w:gridCol w:w="1559"/>
        <w:gridCol w:w="709"/>
        <w:gridCol w:w="1021"/>
      </w:tblGrid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938,7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218,0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34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tabs>
                <w:tab w:val="left" w:pos="296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1304,4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3441,5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284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а</w:t>
      </w:r>
      <w:bookmarkStart w:id="1" w:name="_GoBack"/>
      <w:r/>
      <w:bookmarkEnd w:id="1"/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400"/>
        <w:gridCol w:w="1588"/>
        <w:gridCol w:w="709"/>
        <w:gridCol w:w="1134"/>
      </w:tblGrid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2572,3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938,7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126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218,0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34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tabs>
                <w:tab w:val="left" w:pos="296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1304,4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3441,5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Р.Р. </w:t>
      </w:r>
      <w:r>
        <w:rPr>
          <w:rFonts w:ascii="Times New Roman" w:hAnsi="Times New Roman" w:cs="Times New Roman"/>
          <w:sz w:val="28"/>
          <w:szCs w:val="28"/>
        </w:rPr>
        <w:t xml:space="preserve">Гиматдинов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C218-F66F-49B9-9C2C-FA5F150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3</cp:revision>
  <dcterms:created xsi:type="dcterms:W3CDTF">2026-05-13T11:41:00Z</dcterms:created>
  <dcterms:modified xsi:type="dcterms:W3CDTF">2026-05-18T08:44:20Z</dcterms:modified>
</cp:coreProperties>
</file>