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 заседание Совета Читинского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Чита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</w:t>
      </w:r>
      <w:r>
        <w:rPr>
          <w:sz w:val="28"/>
          <w:szCs w:val="28"/>
        </w:rPr>
        <w:t xml:space="preserve">ний в решение Совета 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Читинского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</w:t>
      </w:r>
      <w:r>
        <w:rPr>
          <w:sz w:val="28"/>
          <w:szCs w:val="28"/>
        </w:rPr>
        <w:t xml:space="preserve">арстан от 9 апреля 2021 года №19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</w:t>
      </w:r>
      <w:r>
        <w:rPr>
          <w:sz w:val="28"/>
          <w:szCs w:val="28"/>
        </w:rPr>
        <w:t xml:space="preserve">(с изменениями, утверждёнными решением Совета Читинского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29 декабря 2022 года № 59, от 29 мая 2024 года №92, 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 января 2025 года №108, 23 мая 2025 года № 115</w:t>
      </w:r>
      <w:r>
        <w:rPr>
          <w:sz w:val="28"/>
          <w:szCs w:val="28"/>
        </w:rPr>
        <w:t xml:space="preserve">, от 29 декабря 2025 года № 14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С.А.Файзрахманов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Пестречинского муниципал</w:t>
      </w:r>
      <w:r>
        <w:t xml:space="preserve">ьного района               от        </w:t>
      </w:r>
      <w:r>
        <w:t xml:space="preserve">2026 года № </w:t>
      </w:r>
      <w:bookmarkStart w:id="0" w:name="_GoBack"/>
      <w:r/>
      <w:bookmarkEnd w:id="0"/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Читинского</w:t>
      </w:r>
      <w:r>
        <w:t xml:space="preserve"> </w:t>
      </w:r>
      <w:r>
        <w:t xml:space="preserve">сельского 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</w:t>
      </w:r>
      <w:r>
        <w:t xml:space="preserve">21 года №19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AA9C-F304-495A-8504-82F305FF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dcterms:created xsi:type="dcterms:W3CDTF">2026-05-12T07:14:00Z</dcterms:created>
  <dcterms:modified xsi:type="dcterms:W3CDTF">2026-05-18T10:28:37Z</dcterms:modified>
</cp:coreProperties>
</file>