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Шали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Шалинского </w:t>
      </w:r>
      <w:r>
        <w:rPr>
          <w:bCs/>
          <w:sz w:val="28"/>
          <w:szCs w:val="28"/>
        </w:rPr>
        <w:t xml:space="preserve">сельского поселения Пестречинского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</w:t>
      </w:r>
      <w:r>
        <w:rPr>
          <w:sz w:val="28"/>
          <w:szCs w:val="28"/>
        </w:rPr>
        <w:t xml:space="preserve">арстан от 9 апреля 2021 года №19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октября 2022 года № 48,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29 декабря 2022 года №59,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 мая 2024 года № 96</w:t>
      </w:r>
      <w:r>
        <w:rPr>
          <w:sz w:val="28"/>
          <w:szCs w:val="28"/>
        </w:rPr>
        <w:t xml:space="preserve">, от 31 января 2025 года №112, от 23 мая 2025 года № 118</w:t>
      </w:r>
      <w:r>
        <w:rPr>
          <w:sz w:val="28"/>
          <w:szCs w:val="28"/>
        </w:rPr>
        <w:t xml:space="preserve">, от 29 декабря 2025 года №14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8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Шалинского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И.Р.Ахметзянов</w:t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8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 Пестречинского муниципал</w:t>
      </w:r>
      <w:r>
        <w:t xml:space="preserve">ьного района               от         </w:t>
      </w:r>
      <w:r>
        <w:t xml:space="preserve"> 2026 года № </w:t>
      </w:r>
      <w:bookmarkStart w:id="0" w:name="_GoBack"/>
      <w:r/>
      <w:bookmarkEnd w:id="0"/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Шалинского </w:t>
      </w:r>
      <w:r>
        <w:t xml:space="preserve">сельского поселения </w:t>
      </w:r>
      <w:r>
        <w:t xml:space="preserve">Пестречинского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</w:t>
      </w:r>
      <w:r>
        <w:t xml:space="preserve">21 года №19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  <w:t xml:space="preserve">ПРОЕКТ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5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5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4"/>
    <w:uiPriority w:val="99"/>
  </w:style>
  <w:style w:type="character" w:styleId="45">
    <w:name w:val="Footer Char"/>
    <w:basedOn w:val="685"/>
    <w:link w:val="696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84">
    <w:name w:val="Heading 1"/>
    <w:basedOn w:val="683"/>
    <w:next w:val="683"/>
    <w:link w:val="69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85" w:default="1">
    <w:name w:val="Default Paragraph Font"/>
    <w:uiPriority w:val="1"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paragraph" w:styleId="688">
    <w:name w:val="List Paragraph"/>
    <w:basedOn w:val="683"/>
    <w:uiPriority w:val="34"/>
    <w:qFormat/>
    <w:pPr>
      <w:contextualSpacing/>
      <w:ind w:left="720"/>
    </w:pPr>
  </w:style>
  <w:style w:type="paragraph" w:styleId="68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90">
    <w:name w:val="Hyperlink"/>
    <w:uiPriority w:val="99"/>
    <w:unhideWhenUsed/>
    <w:rPr>
      <w:color w:val="0000ff"/>
      <w:u w:val="single"/>
    </w:rPr>
  </w:style>
  <w:style w:type="paragraph" w:styleId="691">
    <w:name w:val="Balloon Text"/>
    <w:basedOn w:val="683"/>
    <w:link w:val="692"/>
    <w:uiPriority w:val="99"/>
    <w:semiHidden/>
    <w:unhideWhenUsed/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link w:val="6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9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94">
    <w:name w:val="Header"/>
    <w:basedOn w:val="68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8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99" w:customStyle="1">
    <w:name w:val="Заголовок 1 Знак"/>
    <w:basedOn w:val="685"/>
    <w:link w:val="68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1B3F0-7665-47F2-AEBC-A045914FC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3</cp:revision>
  <dcterms:created xsi:type="dcterms:W3CDTF">2026-05-12T08:25:00Z</dcterms:created>
  <dcterms:modified xsi:type="dcterms:W3CDTF">2026-05-18T10:29:17Z</dcterms:modified>
</cp:coreProperties>
</file>